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count</w:t>
      </w:r>
    </w:p>
    <w:p>
      <w:r>
        <w:t>クエリ時点までにテーブルへ保存されたすべてのレコード数をデータパーティションごとに照会します。</w:t>
      </w:r>
    </w:p>
    <w:p>
      <w:pPr>
        <w:pStyle w:val="4"/>
      </w:pPr>
      <w:r>
        <w:t>構文</w:t>
      </w:r>
    </w:p>
    <w:p>
      <w:pPr>
        <w:pStyle w:val="ab"/>
      </w:pPr>
      <w:r>
        <w:t>system count [from=yyyyMMdd] [to=yyyyMMdd] [diskonly=BOOL] [TABLE_LIST]</w:t>
      </w:r>
    </w:p>
    <w:p>
      <w:r>
        <w:rPr>
          <w:rStyle w:val="af4"/>
          <w:b w:val="on"/>
        </w:rPr>
        <w:t>from=yyyyMMdd</w:t>
      </w:r>
    </w:p>
    <w:p>
      <w:pPr>
        <w:ind w:left="400"/>
      </w:pPr>
      <w:r>
        <w:t>照会範囲の開始日付。開始日付を含めて照会します。</w:t>
      </w:r>
    </w:p>
    <w:p>
      <w:r>
        <w:rPr>
          <w:rStyle w:val="af4"/>
          <w:b w:val="on"/>
        </w:rPr>
        <w:t>to=yyyyMMdd</w:t>
      </w:r>
    </w:p>
    <w:p>
      <w:pPr>
        <w:ind w:left="400"/>
      </w:pPr>
      <w:r>
        <w:t>照会範囲の終了日付。他のコマンド（例：</w:t>
      </w:r>
      <w:hyperlink r:id="rId10">
        <w:r>
          <w:rPr>
            <w:rStyle w:val="a6"/>
          </w:rPr>
          <w:t>table</w:t>
        </w:r>
      </w:hyperlink>
      <w:r>
        <w:t>）の</w:t>
      </w:r>
      <w:r>
        <w:rPr>
          <w:rStyle w:val="af4"/>
        </w:rPr>
        <w:t>to</w:t>
      </w:r>
      <w:r>
        <w:t>オプションとは異なり、指定した日付も照会範囲に含まれます。</w:t>
      </w:r>
    </w:p>
    <w:p>
      <w:pPr>
        <w:pStyle w:val="af1"/>
      </w:pPr>
      <w:r>
        <w:t>from、toオプションを指定しない場合、全期間が照会対象となります。</w:t>
      </w:r>
    </w:p>
    <w:p>
      <w:r>
        <w:rPr>
          <w:rStyle w:val="af4"/>
          <w:b w:val="on"/>
        </w:rPr>
        <w:t>diskonly=BOOL</w:t>
      </w:r>
    </w:p>
    <w:p>
      <w:pPr>
        <w:ind w:left="400"/>
      </w:pPr>
      <w:r>
        <w:t>出力フィールド</w:t>
      </w:r>
      <w:r>
        <w:rPr>
          <w:b w:val="on"/>
        </w:rPr>
        <w:t>count</w:t>
      </w:r>
      <w:r>
        <w:t>の出力設定（デフォルト：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>：ディスクに記録された件数のみを照会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>：メモリにバッファリングされたデータ件数も含めて照会</w:t>
      </w:r>
    </w:p>
    <w:p>
      <w:r>
        <w:rPr>
          <w:rStyle w:val="af4"/>
          <w:b w:val="on"/>
        </w:rPr>
        <w:t>TABLE_LIST</w:t>
      </w:r>
    </w:p>
    <w:p>
      <w:pPr>
        <w:ind w:left="400"/>
      </w:pPr>
      <w:r>
        <w:t>検索対象のテーブルリスト。複数のテーブルを指定する場合はカンマ（</w:t>
      </w:r>
      <w:r>
        <w:rPr>
          <w:rStyle w:val="af4"/>
        </w:rPr>
        <w:t>,</w:t>
      </w:r>
      <w:r>
        <w:t>）で区切ってください。テーブルを指定しない場合、ユーザーに読み取り権限が付与されているすべてのテーブルのレコード数を確認します。</w:t>
      </w:r>
    </w:p>
    <w:p>
      <w:pPr>
        <w:ind w:left="400"/>
      </w:pPr>
      <w:r>
        <w:t>テーブル名の先頭または末尾にワイルドカード（</w:t>
      </w:r>
      <w:r>
        <w:rPr>
          <w:rStyle w:val="af4"/>
        </w:rPr>
        <w:t>*</w:t>
      </w:r>
      <w:r>
        <w:t>）を使用できます。すべてのテーブルを指定する場合はワイルドカード（</w:t>
      </w:r>
      <w:r>
        <w:rPr>
          <w:rStyle w:val="af4"/>
        </w:rPr>
        <w:t>*</w:t>
      </w:r>
      <w:r>
        <w:t>）のみを使用してください。例えば、クエリ文</w:t>
      </w:r>
      <w:r>
        <w:rPr>
          <w:rStyle w:val="af4"/>
        </w:rPr>
        <w:t>table sys_*</w:t>
      </w:r>
      <w:r>
        <w:t>を実行すると、</w:t>
      </w:r>
      <w:r>
        <w:rPr>
          <w:rStyle w:val="af4"/>
        </w:rPr>
        <w:t>sys_</w:t>
      </w:r>
      <w:r>
        <w:t>で始まるテーブルのうち、読み取り権限が付与されているテーブルがすべて照会されます。</w:t>
      </w:r>
    </w:p>
    <w:p>
      <w:pPr>
        <w:pStyle w:val="4"/>
      </w:pPr>
      <w:r>
        <w:t>説明</w:t>
      </w:r>
    </w:p>
    <w:p>
      <w:pPr>
        <w:pStyle w:val="a7"/>
      </w:pPr>
      <w:r>
        <w:t>出力フィールド</w:t>
      </w:r>
    </w:p>
    <w:p>
      <w:r>
        <w:t>コマンド実行後に出力されるフィールドの内容は、以下の表を参照してください。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日本語名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日付</w:t>
            </w:r>
          </w:p>
        </w:tc>
        <w:tc>
          <w:p>
            <w:pPr>
              <w:spacing w:before="0" w:after="0"/>
            </w:pPr>
            <w:r>
              <w:t>パーティション日付</w:t>
            </w:r>
          </w:p>
        </w:tc>
        <w:tc>
          <w:p>
            <w:pPr>
              <w:spacing w:before="0" w:after="0"/>
            </w:pPr>
            <w:r>
              <w:t>パーティション生成時刻</w:t>
            </w:r>
          </w:p>
        </w:tc>
      </w:tr>
      <w:tr>
        <w:tc>
          <w:p>
            <w:pPr>
              <w:spacing w:before="0" w:after="0"/>
            </w:pPr>
            <w:r>
              <w:t>sk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-</w:t>
            </w:r>
          </w:p>
        </w:tc>
        <w:tc>
          <w:p>
            <w:pPr>
              <w:spacing w:before="0" w:after="0"/>
            </w:pPr>
            <w:r>
              <w:t>予約フィールド。現在は使用されていません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テーブル名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count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パーティション内レコード数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era</w:t>
            </w:r>
          </w:p>
        </w:tc>
        <w:tc>
          <w:p>
            <w:pPr>
              <w:spacing w:before="0" w:after="0"/>
            </w:pPr>
            <w:r>
              <w:t>64ビット整数</w:t>
            </w:r>
          </w:p>
        </w:tc>
        <w:tc>
          <w:p>
            <w:pPr>
              <w:spacing w:before="0" w:after="0"/>
            </w:pPr>
            <w:r>
              <w:t>パーティション識別子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sto_class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ストレージクラス番号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0~9999</w:t>
            </w:r>
            <w:r>
              <w:t>：Hotティア、</w:t>
            </w:r>
            <w:r>
              <w:rPr>
                <w:rStyle w:val="af4"/>
              </w:rPr>
              <w:t>10000~19999</w:t>
            </w:r>
            <w:r>
              <w:t>：Warmティア、</w:t>
            </w:r>
            <w:r>
              <w:rPr>
                <w:rStyle w:val="af4"/>
              </w:rPr>
              <w:t>20000~29999</w:t>
            </w:r>
            <w:r>
              <w:t>：Coldティア</w:t>
            </w:r>
          </w:p>
        </w:tc>
      </w:tr>
      <w:tr>
        <w:tc>
          <w:p>
            <w:pPr>
              <w:spacing w:before="0" w:after="0"/>
            </w:pPr>
            <w:r>
              <w:t>sto_path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ストレージパスまたはURI</w:t>
            </w:r>
          </w:p>
        </w:tc>
        <w:tc>
          <w:p>
            <w:pPr>
              <w:spacing w:before="0" w:after="0"/>
            </w:pPr>
            <w:r>
              <w:t>例：</w:t>
            </w:r>
            <w:r>
              <w:rPr>
                <w:rStyle w:val="af4"/>
              </w:rPr>
              <w:t>/hot/araqne-logstorage/log/58</w:t>
            </w:r>
            <w:r>
              <w:t>、</w:t>
            </w:r>
            <w:r>
              <w:rPr>
                <w:rStyle w:val="af4"/>
              </w:rPr>
              <w:t>s3:///table/12345678-9abc-de12-aaaabbbbcccc_tb_name</w:t>
            </w:r>
            <w:r>
              <w:t/>
            </w:r>
          </w:p>
        </w:tc>
      </w:tr>
    </w:tbl>
    <w:p>
      <w:pPr>
        <w:numPr>
          <w:numId w:val="7"/>
        </w:numPr>
        <w:spacing w:before="0" w:after="0"/>
        <w:ind w:left="360" w:hanging="360"/>
      </w:pPr>
      <w:r>
        <w:t>ストレージ階層については、ユーザーインターフェースマニュアルの</w:t>
      </w:r>
      <w:hyperlink r:id="rId11">
        <w:r>
          <w:rPr>
            <w:rStyle w:val="a6"/>
          </w:rPr>
          <w:t>ライフサイクル</w:t>
        </w:r>
      </w:hyperlink>
      <w:r>
        <w:t>をご参照ください。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