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ロガーモデルの作成</w:t>
      </w:r>
    </w:p>
    <w:p>
      <w:r>
        <w:t>新しいロガーモデルを追加します。この操作には管理者権限が必要です。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ロガーモデル識別子</w:t>
            </w:r>
          </w:p>
        </w:tc>
        <w:tc>
          <w:p>
            <w:pPr>
              <w:spacing w:before="0" w:after="0"/>
            </w:pPr>
            <w:r>
              <w:t>36文字のGUID。未設定時は自動生成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ロガータイプ識別子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正規化ルール一覧</w:t>
            </w:r>
          </w:p>
        </w:tc>
        <w:tc>
          <w:p>
            <w:pPr>
              <w:spacing w:before="0" w:after="0"/>
            </w:pPr>
            <w:r>
              <w:t>下記参照</w:t>
            </w:r>
          </w:p>
        </w:tc>
      </w:tr>
    </w:tbl>
    <w:p>
      <w:pPr>
        <w:pStyle w:val="a7"/>
      </w:pPr>
      <w:r>
        <w:t>rules属性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（文字列）：正規化ルール識別子。未設定時は自動生成されます。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（文字列）：正規化ルール名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>（文字列）：ログスキーマ識別子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>（文字列）：ストリームクエリ文字列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>（32ビット整数）：ストリームクエリのリフレッシュインターバル</w:t>
      </w:r>
    </w:p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パーサが存在しない場合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ロガータイプが存在しない場合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ロガーモデル名が重複している場合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