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チケットの弁明リクエスト</w:t>
      </w:r>
    </w:p>
    <w:p>
      <w:r>
        <w:t>チケット内容について違反者に弁明を求めるには、弁明リクエストボタンをクリックしてください。対象（違反者）、レビュワー、重要度、カテゴリなどのパラメータを設定し、リクエストを開始します。弁明リクエストは、チケットに証拠資料が添付されている場合にのみ実行できます。</w:t>
      </w:r>
    </w:p>
    <w:p>
      <w:r>
        <w:drawing>
          <wp:inline distT="0" distR="0" distB="0" distL="0">
            <wp:extent cx="5715000" cy="388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弁明リクエストの作成方法について詳しくは、</w:t>
      </w:r>
      <w:hyperlink r:id="rId11">
        <w:r>
          <w:rPr>
            <w:rStyle w:val="a6"/>
          </w:rPr>
          <w:t>弁明</w:t>
        </w:r>
      </w:hyperlink>
      <w:r>
        <w:t>セクションをご参照ください。</w:t>
      </w:r>
    </w:p>
    <w:p>
      <w:r>
        <w:drawing>
          <wp:inline distT="0" distR="0" distB="0" distL="0">
            <wp:extent cx="5715000" cy="205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