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チケットの閲覧</w:t>
      </w:r>
    </w:p>
    <w:p>
      <w:r>
        <w:t>チケットリストでチケットタイトルをクリックすると、その詳細およびステータスを確認できます。</w:t>
      </w:r>
    </w:p>
    <w:p>
      <w:r>
        <w:drawing>
          <wp:inline distT="0" distR="0" distB="0" distL="0">
            <wp:extent cx="5715000" cy="3708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チケットが検出ルールによって自動生成された場合、上記のようにチケット本文にイベントの詳細が表示されます。下部の証拠欄には、イベントをトリガーした元のログやチケットに関連するデータが含まれます。たとえば、ホストスキャンが検出された場合、証拠欄にはスキャンを試みた宛先IPやポートなどの情報が、下記の例のように表示されます。証拠欄のスペースが狭い場合は、</w:t>
      </w:r>
      <w:r>
        <w:rPr>
          <w:b w:val="on"/>
        </w:rPr>
        <w:t>クエリウィンドウを開く</w:t>
      </w:r>
      <w:r>
        <w:t>ボタンをクリックして、別画面でデータを確認できます。</w:t>
      </w:r>
    </w:p>
    <w:p>
      <w:r>
        <w:t>また、ユーザーは送信元IP、宛先IP、またはホストに関連する過去のチケット履歴を検索したり、VirusTotalで悪意のある活動がないか確認することも可能です。</w:t>
      </w:r>
    </w:p>
    <w:p>
      <w:r>
        <w:drawing>
          <wp:inline distT="0" distR="0" distB="0" distL="0">
            <wp:extent cx="5715000" cy="1600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アナリストは証拠を精査し、実際に脅威や異常が存在するかを判断します。その後、対応内容を記録し、チケットのステータスを更新して完了とします。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