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グローバル設定一覧照会</w:t>
      </w:r>
    </w:p>
    <w:p>
      <w:r>
        <w:t>システム全体に適用されるすべてのグローバル設定キーと値を照会します。一部の機密キー(SMTPパスワード、LDAPバインドパスワード)の値は</w:t>
      </w:r>
      <w:r>
        <w:rPr>
          <w:rStyle w:val="af4"/>
        </w:rPr>
        <w:t>********</w:t>
      </w:r>
      <w:r>
        <w:t>にマスキングされて返されます。</w:t>
      </w:r>
    </w:p>
    <w:p>
      <w:pPr>
        <w:pStyle w:val="4"/>
      </w:pPr>
      <w:r>
        <w:t>必要な権限</w:t>
      </w:r>
    </w:p>
    <w:p>
      <w:r>
        <w:t>Masterロールが必要です。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/api/sonar/global-configs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https://HOSTNAME/api/sonar/global-configs</w:t>
      </w:r>
    </w:p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"global_configs": {</w:t>
        <w:cr/>
      </w:r>
      <w:r>
        <w:t xml:space="preserve">    "smtp_host": "smtp.example.com",</w:t>
        <w:cr/>
      </w:r>
      <w:r>
        <w:t xml:space="preserve">    "smtp_port": "25",</w:t>
        <w:cr/>
      </w:r>
      <w:r>
        <w:t xml:space="preserve">    "smtp_pass": "********",</w:t>
        <w:cr/>
      </w:r>
      <w:r>
        <w:t xml:space="preserve">    "ldap_host": "ldap.example.com",</w:t>
        <w:cr/>
      </w:r>
      <w:r>
        <w:t xml:space="preserve">    "ldap_bind_password": "********",</w:t>
        <w:cr/>
      </w:r>
      <w:r>
        <w:t xml:space="preserve">    "min_password_len": "8",</w:t>
        <w:cr/>
      </w:r>
      <w:r>
        <w:t xml:space="preserve">    "max_password_len": "64"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global_configs</w:t>
      </w:r>
      <w:r>
        <w:t xml:space="preserve"> (マップ): グローバル設定のキー/値ペア。</w:t>
      </w:r>
    </w:p>
    <w:p>
      <w:r>
        <w:t>グローバル設定キーは次のように分類されます。</w:t>
      </w:r>
    </w:p>
    <w:p>
      <w:pPr>
        <w:pStyle w:val="a7"/>
      </w:pPr>
      <w:r>
        <w:t>システム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api_key</w:t>
            </w:r>
          </w:p>
        </w:tc>
        <w:tc>
          <w:p>
            <w:pPr>
              <w:spacing w:before="0" w:after="0"/>
            </w:pPr>
            <w:r>
              <w:t>APIキー</w:t>
            </w:r>
          </w:p>
        </w:tc>
      </w:tr>
      <w:tr>
        <w:tc>
          <w:p>
            <w:pPr>
              <w:spacing w:before="0" w:after="0"/>
            </w:pPr>
            <w:r>
              <w:t>version</w:t>
            </w:r>
          </w:p>
        </w:tc>
        <w:tc>
          <w:p>
            <w:pPr>
              <w:spacing w:before="0" w:after="0"/>
            </w:pPr>
            <w:r>
              <w:t>システムバージョン</w:t>
            </w:r>
          </w:p>
        </w:tc>
      </w:tr>
      <w:tr>
        <w:tc>
          <w:p>
            <w:pPr>
              <w:spacing w:before="0" w:after="0"/>
            </w:pPr>
            <w:r>
              <w:t>web_endpoint</w:t>
            </w:r>
          </w:p>
        </w:tc>
        <w:tc>
          <w:p>
            <w:pPr>
              <w:spacing w:before="0" w:after="0"/>
            </w:pPr>
            <w:r>
              <w:t>Webコンソールエンドポイント</w:t>
            </w:r>
          </w:p>
        </w:tc>
      </w:tr>
      <w:tr>
        <w:tc>
          <w:p>
            <w:pPr>
              <w:spacing w:before="0" w:after="0"/>
            </w:pPr>
            <w:r>
              <w:t>experimental</w:t>
            </w:r>
          </w:p>
        </w:tc>
        <w:tc>
          <w:p>
            <w:pPr>
              <w:spacing w:before="0" w:after="0"/>
            </w:pPr>
            <w:r>
              <w:t>実験的機能の有効化可否</w:t>
            </w:r>
          </w:p>
        </w:tc>
      </w:tr>
      <w:tr>
        <w:tc>
          <w:p>
            <w:pPr>
              <w:spacing w:before="0" w:after="0"/>
            </w:pPr>
            <w:r>
              <w:t>browser_title</w:t>
            </w:r>
          </w:p>
        </w:tc>
        <w:tc>
          <w:p>
            <w:pPr>
              <w:spacing w:before="0" w:after="0"/>
            </w:pPr>
            <w:r>
              <w:t>ブラウザタブのタイトル</w:t>
            </w:r>
          </w:p>
        </w:tc>
      </w:tr>
      <w:tr>
        <w:tc>
          <w:p>
            <w:pPr>
              <w:spacing w:before="0" w:after="0"/>
            </w:pPr>
            <w:r>
              <w:t>app_menu_path</w:t>
            </w:r>
          </w:p>
        </w:tc>
        <w:tc>
          <w:p>
            <w:pPr>
              <w:spacing w:before="0" w:after="0"/>
            </w:pPr>
            <w:r>
              <w:t>アプリメニューのパス</w:t>
            </w:r>
          </w:p>
        </w:tc>
      </w:tr>
      <w:tr>
        <w:tc>
          <w:p>
            <w:pPr>
              <w:spacing w:before="0" w:after="0"/>
            </w:pPr>
            <w:r>
              <w:t>app_menu_height</w:t>
            </w:r>
          </w:p>
        </w:tc>
        <w:tc>
          <w:p>
            <w:pPr>
              <w:spacing w:before="0" w:after="0"/>
            </w:pPr>
            <w:r>
              <w:t>アプリメニューの高さ</w:t>
            </w:r>
          </w:p>
        </w:tc>
      </w:tr>
      <w:tr>
        <w:tc>
          <w:p>
            <w:pPr>
              <w:spacing w:before="0" w:after="0"/>
            </w:pPr>
            <w:r>
              <w:t>login_path</w:t>
            </w:r>
          </w:p>
        </w:tc>
        <w:tc>
          <w:p>
            <w:pPr>
              <w:spacing w:before="0" w:after="0"/>
            </w:pPr>
            <w:r>
              <w:t>ログインページのパス</w:t>
            </w:r>
          </w:p>
        </w:tc>
      </w:tr>
      <w:tr>
        <w:tc>
          <w:p>
            <w:pPr>
              <w:spacing w:before="0" w:after="0"/>
            </w:pPr>
            <w:r>
              <w:t>login_logo_width</w:t>
            </w:r>
          </w:p>
        </w:tc>
        <w:tc>
          <w:p>
            <w:pPr>
              <w:spacing w:before="0" w:after="0"/>
            </w:pPr>
            <w:r>
              <w:t>ログインページロゴの幅</w:t>
            </w:r>
          </w:p>
        </w:tc>
      </w:tr>
      <w:tr>
        <w:tc>
          <w:p>
            <w:pPr>
              <w:spacing w:before="0" w:after="0"/>
            </w:pPr>
            <w:r>
              <w:t>login_logo_height</w:t>
            </w:r>
          </w:p>
        </w:tc>
        <w:tc>
          <w:p>
            <w:pPr>
              <w:spacing w:before="0" w:after="0"/>
            </w:pPr>
            <w:r>
              <w:t>ログインページロゴの高さ</w:t>
            </w:r>
          </w:p>
        </w:tc>
      </w:tr>
      <w:tr>
        <w:tc>
          <w:p>
            <w:pPr>
              <w:spacing w:before="0" w:after="0"/>
            </w:pPr>
            <w:r>
              <w:t>menu_logo_width</w:t>
            </w:r>
          </w:p>
        </w:tc>
        <w:tc>
          <w:p>
            <w:pPr>
              <w:spacing w:before="0" w:after="0"/>
            </w:pPr>
            <w:r>
              <w:t>メニューロゴの幅</w:t>
            </w:r>
          </w:p>
        </w:tc>
      </w:tr>
      <w:tr>
        <w:tc>
          <w:p>
            <w:pPr>
              <w:spacing w:before="0" w:after="0"/>
            </w:pPr>
            <w:r>
              <w:t>menu_logo_height</w:t>
            </w:r>
          </w:p>
        </w:tc>
        <w:tc>
          <w:p>
            <w:pPr>
              <w:spacing w:before="0" w:after="0"/>
            </w:pPr>
            <w:r>
              <w:t>メニューロゴの高さ</w:t>
            </w:r>
          </w:p>
        </w:tc>
      </w:tr>
      <w:tr>
        <w:tc>
          <w:p>
            <w:pPr>
              <w:spacing w:before="0" w:after="0"/>
            </w:pPr>
            <w:r>
              <w:t>index_path</w:t>
            </w:r>
          </w:p>
        </w:tc>
        <w:tc>
          <w:p>
            <w:pPr>
              <w:spacing w:before="0" w:after="0"/>
            </w:pPr>
            <w:r>
              <w:t>インデックスパス</w:t>
            </w:r>
          </w:p>
        </w:tc>
      </w:tr>
    </w:tbl>
    <w:p>
      <w:pPr>
        <w:pStyle w:val="a7"/>
      </w:pPr>
      <w:r>
        <w:t>認証/セッション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trust_host_count</w:t>
            </w:r>
          </w:p>
        </w:tc>
        <w:tc>
          <w:p>
            <w:pPr>
              <w:spacing w:before="0" w:after="0"/>
            </w:pPr>
            <w:r>
              <w:t>信頼ホスト数</w:t>
            </w:r>
          </w:p>
        </w:tc>
      </w:tr>
      <w:tr>
        <w:tc>
          <w:p>
            <w:pPr>
              <w:spacing w:before="0" w:after="0"/>
            </w:pPr>
            <w:r>
              <w:t>block_concurrent_admin</w:t>
            </w:r>
          </w:p>
        </w:tc>
        <w:tc>
          <w:p>
            <w:pPr>
              <w:spacing w:before="0" w:after="0"/>
            </w:pPr>
            <w:r>
              <w:t>管理者の同時ログイン遮断可否</w:t>
            </w:r>
          </w:p>
        </w:tc>
      </w:tr>
      <w:tr>
        <w:tc>
          <w:p>
            <w:pPr>
              <w:spacing w:before="0" w:after="0"/>
            </w:pPr>
            <w:r>
              <w:t>block_concurrent_login</w:t>
            </w:r>
          </w:p>
        </w:tc>
        <w:tc>
          <w:p>
            <w:pPr>
              <w:spacing w:before="0" w:after="0"/>
            </w:pPr>
            <w:r>
              <w:t>一般ユーザの同時ログイン遮断可否</w:t>
            </w:r>
          </w:p>
        </w:tc>
      </w:tr>
      <w:tr>
        <w:tc>
          <w:p>
            <w:pPr>
              <w:spacing w:before="0" w:after="0"/>
            </w:pPr>
            <w:r>
              <w:t>inactive_account_period</w:t>
            </w:r>
          </w:p>
        </w:tc>
        <w:tc>
          <w:p>
            <w:pPr>
              <w:spacing w:before="0" w:after="0"/>
            </w:pPr>
            <w:r>
              <w:t>休眠アカウント転換期間(日)</w:t>
            </w:r>
          </w:p>
        </w:tc>
      </w:tr>
      <w:tr>
        <w:tc>
          <w:p>
            <w:pPr>
              <w:spacing w:before="0" w:after="0"/>
            </w:pPr>
            <w:r>
              <w:t>min_password_len</w:t>
            </w:r>
          </w:p>
        </w:tc>
        <w:tc>
          <w:p>
            <w:pPr>
              <w:spacing w:before="0" w:after="0"/>
            </w:pPr>
            <w:r>
              <w:t>パスワード最小長</w:t>
            </w:r>
          </w:p>
        </w:tc>
      </w:tr>
      <w:tr>
        <w:tc>
          <w:p>
            <w:pPr>
              <w:spacing w:before="0" w:after="0"/>
            </w:pPr>
            <w:r>
              <w:t>max_password_len</w:t>
            </w:r>
          </w:p>
        </w:tc>
        <w:tc>
          <w:p>
            <w:pPr>
              <w:spacing w:before="0" w:after="0"/>
            </w:pPr>
            <w:r>
              <w:t>パスワード最大長</w:t>
            </w:r>
          </w:p>
        </w:tc>
      </w:tr>
      <w:tr>
        <w:tc>
          <w:p>
            <w:pPr>
              <w:spacing w:before="0" w:after="0"/>
            </w:pPr>
            <w:r>
              <w:t>password_complexity</w:t>
            </w:r>
          </w:p>
        </w:tc>
        <w:tc>
          <w:p>
            <w:pPr>
              <w:spacing w:before="0" w:after="0"/>
            </w:pPr>
            <w:r>
              <w:t>パスワード複雑度ポリシー</w:t>
            </w:r>
          </w:p>
        </w:tc>
      </w:tr>
    </w:tbl>
    <w:p>
      <w:pPr>
        <w:pStyle w:val="a7"/>
      </w:pPr>
      <w:r>
        <w:t>LDAP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ldap_host</w:t>
            </w:r>
          </w:p>
        </w:tc>
        <w:tc>
          <w:p>
            <w:pPr>
              <w:spacing w:before="0" w:after="0"/>
            </w:pPr>
            <w:r>
              <w:t>LDAPサーバホスト</w:t>
            </w:r>
          </w:p>
        </w:tc>
      </w:tr>
      <w:tr>
        <w:tc>
          <w:p>
            <w:pPr>
              <w:spacing w:before="0" w:after="0"/>
            </w:pPr>
            <w:r>
              <w:t>ldap_port</w:t>
            </w:r>
          </w:p>
        </w:tc>
        <w:tc>
          <w:p>
            <w:pPr>
              <w:spacing w:before="0" w:after="0"/>
            </w:pPr>
            <w:r>
              <w:t>LDAPサーバポート</w:t>
            </w:r>
          </w:p>
        </w:tc>
      </w:tr>
      <w:tr>
        <w:tc>
          <w:p>
            <w:pPr>
              <w:spacing w:before="0" w:after="0"/>
            </w:pPr>
            <w:r>
              <w:t>ldap_user_prefix</w:t>
            </w:r>
          </w:p>
        </w:tc>
        <w:tc>
          <w:p>
            <w:pPr>
              <w:spacing w:before="0" w:after="0"/>
            </w:pPr>
            <w:r>
              <w:t>ユーザDNプレフィックス</w:t>
            </w:r>
          </w:p>
        </w:tc>
      </w:tr>
      <w:tr>
        <w:tc>
          <w:p>
            <w:pPr>
              <w:spacing w:before="0" w:after="0"/>
            </w:pPr>
            <w:r>
              <w:t>ldap_user_suffix</w:t>
            </w:r>
          </w:p>
        </w:tc>
        <w:tc>
          <w:p>
            <w:pPr>
              <w:spacing w:before="0" w:after="0"/>
            </w:pPr>
            <w:r>
              <w:t>ユーザDNサフィックス</w:t>
            </w:r>
          </w:p>
        </w:tc>
      </w:tr>
      <w:tr>
        <w:tc>
          <w:p>
            <w:pPr>
              <w:spacing w:before="0" w:after="0"/>
            </w:pPr>
            <w:r>
              <w:t>ldap_timeout</w:t>
            </w:r>
          </w:p>
        </w:tc>
        <w:tc>
          <w:p>
            <w:pPr>
              <w:spacing w:before="0" w:after="0"/>
            </w:pPr>
            <w:r>
              <w:t>LDAP接続タイムアウト(ミリ秒)</w:t>
            </w:r>
          </w:p>
        </w:tc>
      </w:tr>
      <w:tr>
        <w:tc>
          <w:p>
            <w:pPr>
              <w:spacing w:before="0" w:after="0"/>
            </w:pPr>
            <w:r>
              <w:t>ldap_user_base_dn</w:t>
            </w:r>
          </w:p>
        </w:tc>
        <w:tc>
          <w:p>
            <w:pPr>
              <w:spacing w:before="0" w:after="0"/>
            </w:pPr>
            <w:r>
              <w:t>ユーザ検索ベースDN</w:t>
            </w:r>
          </w:p>
        </w:tc>
      </w:tr>
      <w:tr>
        <w:tc>
          <w:p>
            <w:pPr>
              <w:spacing w:before="0" w:after="0"/>
            </w:pPr>
            <w:r>
              <w:t>ldap_bind_dn</w:t>
            </w:r>
          </w:p>
        </w:tc>
        <w:tc>
          <w:p>
            <w:pPr>
              <w:spacing w:before="0" w:after="0"/>
            </w:pPr>
            <w:r>
              <w:t>バインドDN</w:t>
            </w:r>
          </w:p>
        </w:tc>
      </w:tr>
      <w:tr>
        <w:tc>
          <w:p>
            <w:pPr>
              <w:spacing w:before="0" w:after="0"/>
            </w:pPr>
            <w:r>
              <w:t>ldap_bind_password</w:t>
            </w:r>
          </w:p>
        </w:tc>
        <w:tc>
          <w:p>
            <w:pPr>
              <w:spacing w:before="0" w:after="0"/>
            </w:pPr>
            <w:r>
              <w:t>バインドパスワード(応答ではマスキング)</w:t>
            </w:r>
          </w:p>
        </w:tc>
      </w:tr>
      <w:tr>
        <w:tc>
          <w:p>
            <w:pPr>
              <w:spacing w:before="0" w:after="0"/>
            </w:pPr>
            <w:r>
              <w:t>ldap_user_search_filter</w:t>
            </w:r>
          </w:p>
        </w:tc>
        <w:tc>
          <w:p>
            <w:pPr>
              <w:spacing w:before="0" w:after="0"/>
            </w:pPr>
            <w:r>
              <w:t>ユーザ検索フィルタ</w:t>
            </w:r>
          </w:p>
        </w:tc>
      </w:tr>
      <w:tr>
        <w:tc>
          <w:p>
            <w:pPr>
              <w:spacing w:before="0" w:after="0"/>
            </w:pPr>
            <w:r>
              <w:t>external_auth_fail_policy</w:t>
            </w:r>
          </w:p>
        </w:tc>
        <w:tc>
          <w:p>
            <w:pPr>
              <w:spacing w:before="0" w:after="0"/>
            </w:pPr>
            <w:r>
              <w:t>外部認証失敗時のポリシー</w:t>
            </w:r>
          </w:p>
        </w:tc>
      </w:tr>
    </w:tbl>
    <w:p>
      <w:pPr>
        <w:pStyle w:val="a7"/>
      </w:pPr>
      <w:r>
        <w:t>SMTP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smtp_host</w:t>
            </w:r>
          </w:p>
        </w:tc>
        <w:tc>
          <w:p>
            <w:pPr>
              <w:spacing w:before="0" w:after="0"/>
            </w:pPr>
            <w:r>
              <w:t>SMTPサーバホスト</w:t>
            </w:r>
          </w:p>
        </w:tc>
      </w:tr>
      <w:tr>
        <w:tc>
          <w:p>
            <w:pPr>
              <w:spacing w:before="0" w:after="0"/>
            </w:pPr>
            <w:r>
              <w:t>smtp_port</w:t>
            </w:r>
          </w:p>
        </w:tc>
        <w:tc>
          <w:p>
            <w:pPr>
              <w:spacing w:before="0" w:after="0"/>
            </w:pPr>
            <w:r>
              <w:t>SMTPサーバポート</w:t>
            </w:r>
          </w:p>
        </w:tc>
      </w:tr>
      <w:tr>
        <w:tc>
          <w:p>
            <w:pPr>
              <w:spacing w:before="0" w:after="0"/>
            </w:pPr>
            <w:r>
              <w:t>smtp_protocol</w:t>
            </w:r>
          </w:p>
        </w:tc>
        <w:tc>
          <w:p>
            <w:pPr>
              <w:spacing w:before="0" w:after="0"/>
            </w:pPr>
            <w:r>
              <w:t>SMTPプロトコル</w:t>
            </w:r>
          </w:p>
        </w:tc>
      </w:tr>
      <w:tr>
        <w:tc>
          <w:p>
            <w:pPr>
              <w:spacing w:before="0" w:after="0"/>
            </w:pPr>
            <w:r>
              <w:t>smtp_user</w:t>
            </w:r>
          </w:p>
        </w:tc>
        <w:tc>
          <w:p>
            <w:pPr>
              <w:spacing w:before="0" w:after="0"/>
            </w:pPr>
            <w:r>
              <w:t>SMTPユーザアカウント</w:t>
            </w:r>
          </w:p>
        </w:tc>
      </w:tr>
      <w:tr>
        <w:tc>
          <w:p>
            <w:pPr>
              <w:spacing w:before="0" w:after="0"/>
            </w:pPr>
            <w:r>
              <w:t>smtp_pass</w:t>
            </w:r>
          </w:p>
        </w:tc>
        <w:tc>
          <w:p>
            <w:pPr>
              <w:spacing w:before="0" w:after="0"/>
            </w:pPr>
            <w:r>
              <w:t>SMTPパスワード(応答ではマスキング)</w:t>
            </w:r>
          </w:p>
        </w:tc>
      </w:tr>
      <w:tr>
        <w:tc>
          <w:p>
            <w:pPr>
              <w:spacing w:before="0" w:after="0"/>
            </w:pPr>
            <w:r>
              <w:t>smtp_from</w:t>
            </w:r>
          </w:p>
        </w:tc>
        <w:tc>
          <w:p>
            <w:pPr>
              <w:spacing w:before="0" w:after="0"/>
            </w:pPr>
            <w:r>
              <w:t>送信者メールアドレス</w:t>
            </w:r>
          </w:p>
        </w:tc>
      </w:tr>
      <w:tr>
        <w:tc>
          <w:p>
            <w:pPr>
              <w:spacing w:before="0" w:after="0"/>
            </w:pPr>
            <w:r>
              <w:t>smtp_proxy</w:t>
            </w:r>
          </w:p>
        </w:tc>
        <w:tc>
          <w:p>
            <w:pPr>
              <w:spacing w:before="0" w:after="0"/>
            </w:pPr>
            <w:r>
              <w:t>SMTPプロキシ設定</w:t>
            </w:r>
          </w:p>
        </w:tc>
      </w:tr>
    </w:tbl>
    <w:p>
      <w:pPr>
        <w:pStyle w:val="a7"/>
      </w:pPr>
      <w:r>
        <w:t>ISAC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isac_url</w:t>
            </w:r>
          </w:p>
        </w:tc>
        <w:tc>
          <w:p>
            <w:pPr>
              <w:spacing w:before="0" w:after="0"/>
            </w:pPr>
            <w:r>
              <w:t>ISACサービスURL</w:t>
            </w:r>
          </w:p>
        </w:tc>
      </w:tr>
      <w:tr>
        <w:tc>
          <w:p>
            <w:pPr>
              <w:spacing w:before="0" w:after="0"/>
            </w:pPr>
            <w:r>
              <w:t>isac_api_key</w:t>
            </w:r>
          </w:p>
        </w:tc>
        <w:tc>
          <w:p>
            <w:pPr>
              <w:spacing w:before="0" w:after="0"/>
            </w:pPr>
            <w:r>
              <w:t>ISAC APIキー</w:t>
            </w:r>
          </w:p>
        </w:tc>
      </w:tr>
    </w:tbl>
    <w:p>
      <w:pPr>
        <w:pStyle w:val="a7"/>
      </w:pPr>
      <w:r>
        <w:t>釈明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explanation_period</w:t>
            </w:r>
          </w:p>
        </w:tc>
        <w:tc>
          <w:p>
            <w:pPr>
              <w:spacing w:before="0" w:after="0"/>
            </w:pPr>
            <w:r>
              <w:t>釈明保存期間</w:t>
            </w:r>
          </w:p>
        </w:tc>
      </w:tr>
      <w:tr>
        <w:tc>
          <w:p>
            <w:pPr>
              <w:spacing w:before="0" w:after="0"/>
            </w:pPr>
            <w:r>
              <w:t>explanation_token_expiry</w:t>
            </w:r>
          </w:p>
        </w:tc>
        <w:tc>
          <w:p>
            <w:pPr>
              <w:spacing w:before="0" w:after="0"/>
            </w:pPr>
            <w:r>
              <w:t>釈明トークン有効期限</w:t>
            </w:r>
          </w:p>
        </w:tc>
      </w:tr>
      <w:tr>
        <w:tc>
          <w:p>
            <w:pPr>
              <w:spacing w:before="0" w:after="0"/>
            </w:pPr>
            <w:r>
              <w:t>explanation_req_mail_cc</w:t>
            </w:r>
          </w:p>
        </w:tc>
        <w:tc>
          <w:p>
            <w:pPr>
              <w:spacing w:before="0" w:after="0"/>
            </w:pPr>
            <w:r>
              <w:t>釈明依頼メールのCC受信者</w:t>
            </w:r>
          </w:p>
        </w:tc>
      </w:tr>
      <w:tr>
        <w:tc>
          <w:p>
            <w:pPr>
              <w:spacing w:before="0" w:after="0"/>
            </w:pPr>
            <w:r>
              <w:t>explanation_req_remind</w:t>
            </w:r>
          </w:p>
        </w:tc>
        <w:tc>
          <w:p>
            <w:pPr>
              <w:spacing w:before="0" w:after="0"/>
            </w:pPr>
            <w:r>
              <w:t>釈明依頼通知の周期</w:t>
            </w:r>
          </w:p>
        </w:tc>
      </w:tr>
      <w:tr>
        <w:tc>
          <w:p>
            <w:pPr>
              <w:spacing w:before="0" w:after="0"/>
            </w:pPr>
            <w:r>
              <w:t>explanation_url_alias</w:t>
            </w:r>
          </w:p>
        </w:tc>
        <w:tc>
          <w:p>
            <w:pPr>
              <w:spacing w:before="0" w:after="0"/>
            </w:pPr>
            <w:r>
              <w:t>釈明URLエイリアス</w:t>
            </w:r>
          </w:p>
        </w:tc>
      </w:tr>
      <w:tr>
        <w:tc>
          <w:p>
            <w:pPr>
              <w:spacing w:before="0" w:after="0"/>
            </w:pPr>
            <w:r>
              <w:t>explanation_submit_expiry</w:t>
            </w:r>
          </w:p>
        </w:tc>
        <w:tc>
          <w:p>
            <w:pPr>
              <w:spacing w:before="0" w:after="0"/>
            </w:pPr>
            <w:r>
              <w:t>釈明提出締切期間</w:t>
            </w:r>
          </w:p>
        </w:tc>
      </w:tr>
      <w:tr>
        <w:tc>
          <w:p>
            <w:pPr>
              <w:spacing w:before="0" w:after="0"/>
            </w:pPr>
            <w:r>
              <w:t>explanation_requester_name</w:t>
            </w:r>
          </w:p>
        </w:tc>
        <w:tc>
          <w:p>
            <w:pPr>
              <w:spacing w:before="0" w:after="0"/>
            </w:pPr>
            <w:r>
              <w:t>釈明依頼者の表示名</w:t>
            </w:r>
          </w:p>
        </w:tc>
      </w:tr>
      <w:tr>
        <w:tc>
          <w:p>
            <w:pPr>
              <w:spacing w:before="0" w:after="0"/>
            </w:pPr>
            <w:r>
              <w:t>max_explanation_log_count</w:t>
            </w:r>
          </w:p>
        </w:tc>
        <w:tc>
          <w:p>
            <w:pPr>
              <w:spacing w:before="0" w:after="0"/>
            </w:pPr>
            <w:r>
              <w:t>釈明根拠ログの最大件数</w:t>
            </w:r>
          </w:p>
        </w:tc>
      </w:tr>
      <w:tr>
        <w:tc>
          <w:p>
            <w:pPr>
              <w:spacing w:before="0" w:after="0"/>
            </w:pPr>
            <w:r>
              <w:t>self_explanation</w:t>
            </w:r>
          </w:p>
        </w:tc>
        <w:tc>
          <w:p>
            <w:pPr>
              <w:spacing w:before="0" w:after="0"/>
            </w:pPr>
            <w:r>
              <w:t>本人釈明の許可可否</w:t>
            </w:r>
          </w:p>
        </w:tc>
      </w:tr>
    </w:tbl>
    <w:p>
      <w:pPr>
        <w:pStyle w:val="a7"/>
      </w:pPr>
      <w:r>
        <w:t>資産IP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ip_custom_fields</w:t>
            </w:r>
          </w:p>
        </w:tc>
        <w:tc>
          <w:p>
            <w:pPr>
              <w:spacing w:before="0" w:after="0"/>
            </w:pPr>
            <w:r>
              <w:t>資産IPユーザ定義フィールド</w:t>
            </w:r>
          </w:p>
        </w:tc>
      </w:tr>
      <w:tr>
        <w:tc>
          <w:p>
            <w:pPr>
              <w:spacing w:before="0" w:after="0"/>
            </w:pPr>
            <w:r>
              <w:t>ip_search_popup</w:t>
            </w:r>
          </w:p>
        </w:tc>
        <w:tc>
          <w:p>
            <w:pPr>
              <w:spacing w:before="0" w:after="0"/>
            </w:pPr>
            <w:r>
              <w:t>資産IP検索ポップアップの使用可否</w:t>
            </w:r>
          </w:p>
        </w:tc>
      </w:tr>
    </w:tbl>
    <w:p>
      <w:pPr>
        <w:pStyle w:val="a7"/>
      </w:pPr>
      <w:r>
        <w:t>ライフサイクル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lifecycle_rollover_schedule</w:t>
            </w:r>
          </w:p>
        </w:tc>
        <w:tc>
          <w:p>
            <w:pPr>
              <w:spacing w:before="0" w:after="0"/>
            </w:pPr>
            <w:r>
              <w:t>ライフサイクルロールオバスケジュール</w:t>
            </w:r>
          </w:p>
        </w:tc>
      </w:tr>
      <w:tr>
        <w:tc>
          <w:p>
            <w:pPr>
              <w:spacing w:before="0" w:after="0"/>
            </w:pPr>
            <w:r>
              <w:t>lifecycle_throttle_step</w:t>
            </w:r>
          </w:p>
        </w:tc>
        <w:tc>
          <w:p>
            <w:pPr>
              <w:spacing w:before="0" w:after="0"/>
            </w:pPr>
            <w:r>
              <w:t>ライフサイクル処理ステップ</w:t>
            </w:r>
          </w:p>
        </w:tc>
      </w:tr>
    </w:tbl>
    <w:p>
      <w:pPr>
        <w:pStyle w:val="a7"/>
      </w:pPr>
      <w:r>
        <w:t>オブジェクトストレージ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objectstorage_s3sdk_connection_timeout</w:t>
            </w:r>
          </w:p>
        </w:tc>
        <w:tc>
          <w:p>
            <w:pPr>
              <w:spacing w:before="0" w:after="0"/>
            </w:pPr>
            <w:r>
              <w:t>S3 SDK接続タイムアウト(ミリ秒)</w:t>
            </w:r>
          </w:p>
        </w:tc>
      </w:tr>
      <w:tr>
        <w:tc>
          <w:p>
            <w:pPr>
              <w:spacing w:before="0" w:after="0"/>
            </w:pPr>
            <w:r>
              <w:t>objectstorage_s3sdk_minimum_throughput_timeout</w:t>
            </w:r>
          </w:p>
        </w:tc>
        <w:tc>
          <w:p>
            <w:pPr>
              <w:spacing w:before="0" w:after="0"/>
            </w:pPr>
            <w:r>
              <w:t>S3 SDK最小スループットタイムアウト(ミリ秒)</w:t>
            </w:r>
          </w:p>
        </w:tc>
      </w:tr>
      <w:tr>
        <w:tc>
          <w:p>
            <w:pPr>
              <w:spacing w:before="0" w:after="0"/>
            </w:pPr>
            <w:r>
              <w:t>objectstorage_s3sdk_target_throughput_in_gbps</w:t>
            </w:r>
          </w:p>
        </w:tc>
        <w:tc>
          <w:p>
            <w:pPr>
              <w:spacing w:before="0" w:after="0"/>
            </w:pPr>
            <w:r>
              <w:t>S3 SDK目標スループット(Gbps)</w:t>
            </w:r>
          </w:p>
        </w:tc>
      </w:tr>
      <w:tr>
        <w:tc>
          <w:p>
            <w:pPr>
              <w:spacing w:before="0" w:after="0"/>
            </w:pPr>
            <w:r>
              <w:t>objectstorage_input_stream_buffer_size_in_bytes</w:t>
            </w:r>
          </w:p>
        </w:tc>
        <w:tc>
          <w:p>
            <w:pPr>
              <w:spacing w:before="0" w:after="0"/>
            </w:pPr>
            <w:r>
              <w:t>入力ストリームバッファサイズ(バイト)</w:t>
            </w:r>
          </w:p>
        </w:tc>
      </w:tr>
    </w:tbl>
    <w:p>
      <w:pPr>
        <w:pStyle w:val="a7"/>
      </w:pPr>
      <w:r>
        <w:t>MITRE ATT&amp;CK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mitre_dashboard_highlight_time</w:t>
            </w:r>
          </w:p>
        </w:tc>
        <w:tc>
          <w:p>
            <w:pPr>
              <w:spacing w:before="0" w:after="0"/>
            </w:pPr>
            <w:r>
              <w:t>MITREダッシュボードのハイライト時間(ミリ秒)</w:t>
            </w:r>
          </w:p>
        </w:tc>
      </w:tr>
    </w:tbl>
    <w:p>
      <w:pPr>
        <w:pStyle w:val="a7"/>
      </w:pPr>
      <w:r>
        <w:t>その他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use_auditor_token</w:t>
            </w:r>
          </w:p>
        </w:tc>
        <w:tc>
          <w:p>
            <w:pPr>
              <w:spacing w:before="0" w:after="0"/>
            </w:pPr>
            <w:r>
              <w:t>監査者トークンの使用可否</w:t>
            </w:r>
          </w:p>
        </w:tc>
      </w:tr>
      <w:tr>
        <w:tc>
          <w:p>
            <w:pPr>
              <w:spacing w:before="0" w:after="0"/>
            </w:pPr>
            <w:r>
              <w:t>use_ncsc_threatcon</w:t>
            </w:r>
          </w:p>
        </w:tc>
        <w:tc>
          <w:p>
            <w:pPr>
              <w:spacing w:before="0" w:after="0"/>
            </w:pPr>
            <w:r>
              <w:t>サイバー危機警報レベルの使用可否</w:t>
            </w:r>
          </w:p>
        </w:tc>
      </w:tr>
      <w:tr>
        <w:tc>
          <w:p>
            <w:pPr>
              <w:spacing w:before="0" w:after="0"/>
            </w:pPr>
            <w:r>
              <w:t>ai_assistant_plain</w:t>
            </w:r>
          </w:p>
        </w:tc>
        <w:tc>
          <w:p>
            <w:pPr>
              <w:spacing w:before="0" w:after="0"/>
            </w:pPr>
            <w:r>
              <w:t>AIアシスタントの一般モード使用可否</w:t>
            </w:r>
          </w:p>
        </w:tc>
      </w:tr>
      <w:tr>
        <w:tc>
          <w:p>
            <w:pPr>
              <w:spacing w:before="0" w:after="0"/>
            </w:pPr>
            <w:r>
              <w:t>time_picker_default_hour</w:t>
            </w:r>
          </w:p>
        </w:tc>
        <w:tc>
          <w:p>
            <w:pPr>
              <w:spacing w:before="0" w:after="0"/>
            </w:pPr>
            <w:r>
              <w:t>時刻ピッカーのデフォルト時刻</w:t>
            </w:r>
          </w:p>
        </w:tc>
      </w:tr>
      <w:tr>
        <w:tc>
          <w:p>
            <w:pPr>
              <w:spacing w:before="0" w:after="0"/>
            </w:pPr>
            <w:r>
              <w:t>confirm_ticket_approve_status_change</w:t>
            </w:r>
          </w:p>
        </w:tc>
        <w:tc>
          <w:p>
            <w:pPr>
              <w:spacing w:before="0" w:after="0"/>
            </w:pPr>
            <w:r>
              <w:t>チケット承認時の状態変更確認可否</w:t>
            </w:r>
          </w:p>
        </w:tc>
      </w:tr>
      <w:tr>
        <w:tc>
          <w:p>
            <w:pPr>
              <w:spacing w:before="0" w:after="0"/>
            </w:pPr>
            <w:r>
              <w:t>table_usage_reload_interval</w:t>
            </w:r>
          </w:p>
        </w:tc>
        <w:tc>
          <w:p>
            <w:pPr>
              <w:spacing w:before="0" w:after="0"/>
            </w:pPr>
            <w:r>
              <w:t>テーブル使用量の更新周期</w:t>
            </w:r>
          </w:p>
        </w:tc>
      </w:tr>
      <w:tr>
        <w:tc>
          <w:p>
            <w:pPr>
              <w:spacing w:before="0" w:after="0"/>
            </w:pPr>
            <w:r>
              <w:t>behavior_profile_sync_max_jitter</w:t>
            </w:r>
          </w:p>
        </w:tc>
        <w:tc>
          <w:p>
            <w:pPr>
              <w:spacing w:before="0" w:after="0"/>
            </w:pPr>
            <w:r>
              <w:t>行動プロファイル同期の最大遅延時間</w:t>
            </w:r>
          </w:p>
        </w:tc>
      </w:tr>
      <w:tr>
        <w:tc>
          <w:p>
            <w:pPr>
              <w:spacing w:before="0" w:after="0"/>
            </w:pPr>
            <w:r>
              <w:t>etir_ticket_score_threshold</w:t>
            </w:r>
          </w:p>
        </w:tc>
        <w:tc>
          <w:p>
            <w:pPr>
              <w:spacing w:before="0" w:after="0"/>
            </w:pPr>
            <w:r>
              <w:t>E-TIRチケットスコアしきい値</w:t>
            </w:r>
          </w:p>
        </w:tc>
      </w:tr>
      <w:tr>
        <w:tc>
          <w:p>
            <w:pPr>
              <w:spacing w:before="0" w:after="0"/>
            </w:pPr>
            <w:r>
              <w:t>sso_hosts</w:t>
            </w:r>
          </w:p>
        </w:tc>
        <w:tc>
          <w:p>
            <w:pPr>
              <w:spacing w:before="0" w:after="0"/>
            </w:pPr>
            <w:r>
              <w:t>SSO許可ホスト一覧</w:t>
            </w:r>
          </w:p>
        </w:tc>
      </w:tr>
      <w:tr>
        <w:tc>
          <w:p>
            <w:pPr>
              <w:spacing w:before="0" w:after="0"/>
            </w:pPr>
            <w:r>
              <w:t>disk_usage_ignore_partitions</w:t>
            </w:r>
          </w:p>
        </w:tc>
        <w:tc>
          <w:p>
            <w:pPr>
              <w:spacing w:before="0" w:after="0"/>
            </w:pPr>
            <w:r>
              <w:t>ディスク使用量算出から除外するパーティション一覧</w:t>
            </w:r>
          </w:p>
        </w:tc>
      </w:tr>
    </w:tbl>
    <w:p>
      <w:pPr>
        <w:pStyle w:val="4"/>
      </w:pPr>
      <w:r>
        <w:t>エラー応答</w:t>
      </w:r>
    </w:p>
    <w:p>
      <w:pPr>
        <w:pStyle w:val="a7"/>
      </w:pPr>
      <w:r>
        <w:t>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