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パーサー参照</w:t>
      </w:r>
    </w:p>
    <w:p>
      <w:r>
        <w:t>指定したパーサー設定を取得します。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"フォーティゲート",</w:t>
        <w:cr/>
      </w:r>
      <w:r>
        <w:t xml:space="preserve">    "description": "WELF形式のフォーティゲートログをパースします。",</w:t>
        <w:cr/>
      </w:r>
      <w:r>
        <w:t xml:space="preserve">    "factory_name": "fortigate",</w:t>
        <w:cr/>
      </w:r>
      <w:r>
        <w:t xml:space="preserve">    "factory_display_name": "フォーティゲート",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</w:t>
      </w:r>
      <w:r>
        <w:t>（マップ）: パーサー情報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>（文字列）: パーサー識別子。</w:t>
      </w:r>
      <w:hyperlink r:id="rId10">
        <w:r>
          <w:rPr>
            <w:rStyle w:val="a6"/>
          </w:rPr>
          <w:t>parseコマンド</w:t>
        </w:r>
      </w:hyperlink>
      <w:r>
        <w:t>でパーサーを呼び出す際に参照されます。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パーサーの画面表示名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パーサーの説明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（文字列）: </w:t>
      </w:r>
      <w:hyperlink r:id="rId11">
        <w:r>
          <w:rPr>
            <w:rStyle w:val="a6"/>
          </w:rPr>
          <w:t>パーサータイプ識別子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>（文字列）: パーサータイプの画面表示名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>（ブール値）: パッケージ内蔵パーサーかどうか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>（文字列）: 正規化スキーマ名。正規化パーサーの場合のみ出力されます。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>（文字列）: 正規化スキーマの画面表示名。正規化パーサーの場合のみ出力されます。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（マップ）: </w:t>
      </w:r>
      <w:hyperlink r:id="rId12">
        <w:r>
          <w:rPr>
            <w:rStyle w:val="a6"/>
          </w:rPr>
          <w:t>パーサータイプ別設定仕様</w:t>
        </w:r>
      </w:hyperlink>
      <w:r>
        <w:t>で定義された設定キー/値の一覧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作成日時。yyyy-MM-dd HH:mm:ssZ形式。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更新日時。yyyy-MM-dd HH:mm:ssZ形式。</w:t>
      </w:r>
    </w:p>
    <w:p>
      <w:pPr>
        <w:pStyle w:val="4"/>
      </w:pPr>
      <w:r>
        <w:t>エラー応答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7"/>
      </w:pPr>
      <w:r>
        <w:t>パーサーが存在しない場合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