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資産IP脆弱性の一括削除</w:t>
      </w:r>
    </w:p>
    <w:p>
      <w:r>
        <w:t>指定した資産IP脆弱性を一括削除します。</w:t>
      </w:r>
    </w:p>
    <w:p>
      <w:pPr>
        <w:pStyle w:val="4"/>
      </w:pPr>
      <w:r>
        <w:t>必要な権限</w:t>
      </w:r>
    </w:p>
    <w:p>
      <w:r>
        <w:t>ユーザ以上のアカウントで利用できます。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/api/sonar/ip-address-vulnerabilities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"https://HOSTNAME/api/sonar/ip-address-vulnerabilities?guids=9c4e2f3a-1b2d-4c5e-9f8a-3d2c1b4a5e6f,a1b2c3d4-e5f6-7890-1234-567890abcdef"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IPアドレス資産脆弱性GUID一覧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）区切りの一覧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資産IP脆弱性が存在しない場合</w:t>
      </w:r>
    </w:p>
    <w:p>
      <w:r>
        <w:t xml:space="preserve">HTTPステータスコード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"9c4e2f3a-1b2d-4c5e-9f8a-3d2c1b4a5e6f",</w:t>
        <w:cr/>
      </w:r>
      <w:r>
        <w:t xml:space="preserve">      "reason": "ip-address-vulnerability-not-found"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"invalid-guid",</w:t>
        <w:cr/>
      </w:r>
      <w:r>
        <w:t xml:space="preserve">  "error_msg": "invalid guid: XYZ"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