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資産IPの削除</w:t>
      </w:r>
    </w:p>
    <w:p>
      <w:r>
        <w:t>指定したIPアドレスを一括削除します。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/api/sonar/ip-addresses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"https://HOSTNAME/api/sonar/ip-addresses?guids=f47ac10b-58cc-4372-a567-0e02b2c3d479,a1b2c3d4-e5f6-7890-1234-567890abcdef"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文字列配列</w:t>
            </w:r>
          </w:p>
        </w:tc>
        <w:tc>
          <w:p>
            <w:pPr>
              <w:spacing w:before="0" w:after="0"/>
            </w:pPr>
            <w:r>
              <w:t>IPアドレスGUID一覧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）区切りの一覧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IPアドレスが存在しない場合</w:t>
      </w:r>
    </w:p>
    <w:p>
      <w:r>
        <w:t xml:space="preserve">HTTPステータスコード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"54157629-74f7-4d80-be5a-8cb8f0c71087",</w:t>
        <w:cr/>
      </w:r>
      <w:r>
        <w:t xml:space="preserve">      "reason": "ip-not-found"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