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グローバル設定解除</w:t>
      </w:r>
    </w:p>
    <w:p>
      <w:r>
        <w:t>指定したキーのグローバル設定値を削除します。解除されたキーはシステムデフォルト値に戻ります。利用可能なキー一覧は</w:t>
      </w:r>
      <w:hyperlink r:id="rId10">
        <w:r>
          <w:rPr>
            <w:rStyle w:val="a6"/>
          </w:rPr>
          <w:t>グローバル設定一覧照会</w:t>
        </w:r>
      </w:hyperlink>
      <w:r>
        <w:t>を参照してください。</w:t>
      </w:r>
    </w:p>
    <w:p>
      <w:pPr>
        <w:pStyle w:val="4"/>
      </w:pPr>
      <w:r>
        <w:t>必要な権限</w:t>
      </w:r>
    </w:p>
    <w:p>
      <w:r>
        <w:t>Masterロールが必要です。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/api/sonar/global-configs/:key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https://HOSTNAME/api/sonar/global-configs/smtp_host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グローバル設定キー</w:t>
            </w:r>
          </w:p>
        </w:tc>
        <w:tc>
          <w:p>
            <w:pPr>
              <w:spacing w:before="0" w:after="0"/>
            </w:pPr>
            <w:r>
              <w:t>大文字と小文字を区別しません。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