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바이그램 토크나이저</w:t>
      </w:r>
    </w:p>
    <w:p>
      <w:r>
        <w:t>아스키 특수문자로 자른 뒤 지정된 바이그램 구분자를 기준으로 2개씩 묶은 토큰을 인덱싱합니다.</w:t>
      </w:r>
    </w:p>
    <w:p>
      <w:pPr>
        <w:numPr>
          <w:numId w:val="6"/>
        </w:numPr>
        <w:spacing w:before="0" w:after="0"/>
        <w:ind w:left="360" w:hanging="360"/>
      </w:pPr>
      <w:r>
        <w:t>바이그램 구분자: 바이그램으로 묶는데 사용할 구분자를 지정합니다.</w:t>
      </w:r>
    </w:p>
    <w:p>
      <w:pPr>
        <w:numPr>
          <w:numId w:val="6"/>
        </w:numPr>
        <w:spacing w:before="0" w:after="0"/>
        <w:ind w:left="360" w:hanging="360"/>
      </w:pPr>
      <w:r>
        <w:t>대상 필드 목록: 토큰을 추출할 대상 필드 이름을 쉼표로 구분하여 입력합니다.</w:t>
      </w:r>
    </w:p>
    <w:p>
      <w:r>
        <w:drawing>
          <wp:inline distT="0" distR="0" distB="0" distL="0">
            <wp:extent cx="5715000" cy="562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