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태스크 복제</w:t>
      </w:r>
    </w:p>
    <w:p>
      <w:r>
        <w:t>태스크 복제 아이콘을 클릭하면 해당 태스크의 설정을 복제한 테이블을 생성할 수 있습니다.</w:t>
      </w:r>
    </w:p>
    <w:p>
      <w:r>
        <w:drawing>
          <wp:inline distT="0" distR="0" distB="0" distL="0">
            <wp:extent cx="5715000" cy="6692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복제한 태스크는 (원본 태스크명)의 사본 이라는 이름을 가지며 설명, 선행작업, 동작, 매개변수 설정이 동일합니다.</w:t>
      </w:r>
    </w:p>
    <w:p>
      <w:r>
        <w:drawing>
          <wp:inline distT="0" distR="0" distB="0" distL="0">
            <wp:extent cx="5715000" cy="7061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