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범용</w:t>
      </w:r>
    </w:p>
    <w:p>
      <w:r>
        <w:rPr>
          <w:b w:val="on"/>
        </w:rPr>
        <w:t>CEF 파서</w:t>
      </w:r>
    </w:p>
    <w:p>
      <w:r>
        <w:t>CEF (Common Event Format) 형식의 로그를 파싱합니다. 아크사이트 등 ESM이나 SIEM 시스템과 연동에 사용되는 규격으로 별도로 설정할 매개변수 항목은 없습니다.</w:t>
      </w:r>
    </w:p>
    <w:p>
      <w:r>
        <w:rPr>
          <w:b w:val="on"/>
        </w:rPr>
        <w:t>CSV 파서</w:t>
      </w:r>
    </w:p>
    <w:p>
      <w:r>
        <w:t>CSV 형식으로 구분된 각 토큰에 대하여 설정된 필드 이름들을 순서대로 적용하여 파싱합니다.</w:t>
      </w:r>
    </w:p>
    <w:p>
      <w:pPr>
        <w:numPr>
          <w:numId w:val="6"/>
        </w:numPr>
        <w:spacing w:before="0" w:after="0"/>
        <w:ind w:left="360" w:hanging="360"/>
      </w:pPr>
      <w:r>
        <w:t>탭문자 사용 여부: 구분자로 탭문자를 사용할 지 결정합니다. true 혹은 false를 입력합니다.</w:t>
      </w:r>
    </w:p>
    <w:p>
      <w:pPr>
        <w:numPr>
          <w:numId w:val="6"/>
        </w:numPr>
        <w:spacing w:before="0" w:after="0"/>
        <w:ind w:left="360" w:hanging="360"/>
      </w:pPr>
      <w:r>
        <w:t>큰 따옴표 사용 여부: 특수문자를 구분하기 위한 이스케이프 문자를 큰 따옴표로 사용합니다. true 혹은 false를 입력합니다.</w:t>
      </w:r>
    </w:p>
    <w:p>
      <w:pPr>
        <w:numPr>
          <w:numId w:val="6"/>
        </w:numPr>
        <w:spacing w:before="0" w:after="0"/>
        <w:ind w:left="360" w:hanging="360"/>
      </w:pPr>
      <w:r>
        <w:t>필드 이름 목록: 파싱된 결과 필들드 이름들을 입력합니다.</w:t>
      </w:r>
    </w:p>
    <w:p>
      <w:pPr>
        <w:numPr>
          <w:numId w:val="6"/>
        </w:numPr>
        <w:spacing w:before="0" w:after="0"/>
        <w:ind w:left="360" w:hanging="360"/>
      </w:pPr>
      <w:r>
        <w:t>대상 필드: 파싱할 대상 필드 이름을 입력합니다.</w:t>
      </w:r>
    </w:p>
    <w:p>
      <w:pPr>
        <w:numPr>
          <w:numId w:val="6"/>
        </w:numPr>
        <w:spacing w:before="0" w:after="0"/>
        <w:ind w:left="360" w:hanging="360"/>
      </w:pPr>
      <w:r>
        <w:t>원본 값 포함 여부: CSV로 파싱된 결과 외에 원본 필드 값도 포함할 지 여부를 설정합니다. true 혹은 false를 입력합니다.</w:t>
      </w:r>
    </w:p>
    <w:p>
      <w:r>
        <w:drawing>
          <wp:inline distT="0" distR="0" distB="0" distL="0">
            <wp:extent cx="5715000" cy="4089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JSON 파서</w:t>
      </w:r>
    </w:p>
    <w:p>
      <w:r>
        <w:t>JSON 형식의 문자열을 파싱합니다.</w:t>
      </w:r>
    </w:p>
    <w:p>
      <w:r>
        <w:drawing>
          <wp:inline distT="0" distR="0" distB="0" distL="0">
            <wp:extent cx="5715000" cy="33401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WELF 포맷 파서</w:t>
      </w:r>
    </w:p>
    <w:p>
      <w:r>
        <w:t>WELF 파서는 WELF (WebTrends Enhanced Log Format) 형식의 데이터를 파싱합니다. 별도의 설정 매개변수는 없으며 키/값 쌍의 나열을 파싱할 수 있습니다.</w:t>
      </w:r>
    </w:p>
    <w:p>
      <w:r>
        <w:rPr>
          <w:b w:val="on"/>
        </w:rPr>
        <w:t>고정 길이 필드 파서</w:t>
      </w:r>
    </w:p>
    <w:p>
      <w:r>
        <w:t>설정된 필드 이름들에 대하여 입력한 고정길이로 로그를 파싱합니다.</w:t>
      </w:r>
    </w:p>
    <w:p>
      <w:pPr>
        <w:numPr>
          <w:numId w:val="7"/>
        </w:numPr>
        <w:spacing w:before="0" w:after="0"/>
        <w:ind w:left="360" w:hanging="360"/>
      </w:pPr>
      <w:r>
        <w:t>필드 이름 목록: 쉼표로 구분 된 필드 이름 목록을 입력합니다.</w:t>
      </w:r>
    </w:p>
    <w:p>
      <w:pPr>
        <w:numPr>
          <w:numId w:val="7"/>
        </w:numPr>
        <w:spacing w:before="0" w:after="0"/>
        <w:ind w:left="360" w:hanging="360"/>
      </w:pPr>
      <w:r>
        <w:t>필드 길이 목록: 필드 별 길이를 입력합니다.</w:t>
      </w:r>
    </w:p>
    <w:p>
      <w:pPr>
        <w:numPr>
          <w:numId w:val="7"/>
        </w:numPr>
        <w:spacing w:before="0" w:after="0"/>
        <w:ind w:left="360" w:hanging="360"/>
      </w:pPr>
      <w:r>
        <w:t>대상 필드: 파싱할 대상 필드 이름을 입력합니다.</w:t>
      </w:r>
    </w:p>
    <w:p>
      <w:pPr>
        <w:numPr>
          <w:numId w:val="7"/>
        </w:numPr>
        <w:spacing w:before="0" w:after="0"/>
        <w:ind w:left="360" w:hanging="360"/>
      </w:pPr>
      <w:r>
        <w:t>원본 값 포함 여부: 구분자로 파싱된 결과 외에 원본 필드 값도 포함할 지 여부를 설정합니다. true 혹은 false를 입력합니다.</w:t>
      </w:r>
    </w:p>
    <w:p>
      <w:r>
        <w:drawing>
          <wp:inline distT="0" distR="0" distB="0" distL="0">
            <wp:extent cx="5715000" cy="38227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구분자 파서</w:t>
      </w:r>
    </w:p>
    <w:p>
      <w:pPr>
        <w:numPr>
          <w:numId w:val="8"/>
        </w:numPr>
        <w:spacing w:before="0" w:after="0"/>
        <w:ind w:left="360" w:hanging="360"/>
      </w:pPr>
      <w:r>
        <w:t>구분자로 구분된 각 토큰에 대하여 설정된 필드 이름들을 순서대로 적용하여 파싱합니다.</w:t>
      </w:r>
    </w:p>
    <w:p>
      <w:pPr>
        <w:numPr>
          <w:numId w:val="8"/>
        </w:numPr>
        <w:spacing w:before="0" w:after="0"/>
        <w:ind w:left="360" w:hanging="360"/>
      </w:pPr>
      <w:r>
        <w:t>구분자: 하나의 아스키 구분자 혹은 4자리 유니코드 이스케이프 시퀀스를 입력합니다. (예: 0x0d)</w:t>
      </w:r>
    </w:p>
    <w:p>
      <w:pPr>
        <w:numPr>
          <w:numId w:val="8"/>
        </w:numPr>
        <w:spacing w:before="0" w:after="0"/>
        <w:ind w:left="360" w:hanging="360"/>
      </w:pPr>
      <w:r>
        <w:t>필드 이름 목록: 쉼표로 구분 된 필드 이름 목록을 입력합니다.</w:t>
      </w:r>
    </w:p>
    <w:p>
      <w:pPr>
        <w:numPr>
          <w:numId w:val="8"/>
        </w:numPr>
        <w:spacing w:before="0" w:after="0"/>
        <w:ind w:left="360" w:hanging="360"/>
      </w:pPr>
      <w:r>
        <w:t>대상 필드: 구분자로 파싱할 대상 필드 이름을 입력합니다.</w:t>
      </w:r>
    </w:p>
    <w:p>
      <w:pPr>
        <w:numPr>
          <w:numId w:val="8"/>
        </w:numPr>
        <w:spacing w:before="0" w:after="0"/>
        <w:ind w:left="360" w:hanging="360"/>
      </w:pPr>
      <w:r>
        <w:t>원본 값 포함 여부: 구분자로 파싱된 결과 외에 원본 필드 값도 포함할 지 여부를 설정합니다. true 혹은 false를 입력합니다.</w:t>
      </w:r>
    </w:p>
    <w:p>
      <w:r>
        <w:drawing>
          <wp:inline distT="0" distR="0" distB="0" distL="0">
            <wp:extent cx="5715000" cy="38354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정규표현식 파서</w:t>
      </w:r>
    </w:p>
    <w:p>
      <w:pPr>
        <w:numPr>
          <w:numId w:val="9"/>
        </w:numPr>
        <w:spacing w:before="0" w:after="0"/>
        <w:ind w:left="360" w:hanging="360"/>
      </w:pPr>
      <w:r>
        <w:t>정규표현식을 이용하여 로그를 파싱합니다.</w:t>
      </w:r>
    </w:p>
    <w:p>
      <w:pPr>
        <w:numPr>
          <w:numId w:val="9"/>
        </w:numPr>
        <w:spacing w:before="0" w:after="0"/>
        <w:ind w:left="360" w:hanging="360"/>
      </w:pPr>
      <w:r>
        <w:t>정규 표현식: 파서로 사용할 정규 표현식을 입력합니다.</w:t>
      </w:r>
    </w:p>
    <w:p>
      <w:pPr>
        <w:numPr>
          <w:numId w:val="9"/>
        </w:numPr>
        <w:spacing w:before="0" w:after="0"/>
        <w:ind w:left="360" w:hanging="360"/>
      </w:pPr>
      <w:r>
        <w:t>대상필드: 파서를 적용할 필드명을 입력합니다.</w:t>
      </w:r>
    </w:p>
    <w:p>
      <w:pPr>
        <w:numPr>
          <w:numId w:val="9"/>
        </w:numPr>
        <w:spacing w:before="0" w:after="0"/>
        <w:ind w:left="360" w:hanging="360"/>
      </w:pPr>
      <w:r>
        <w:t>원본필드포함: 원본필드를 표현할지 true, false로 입력합니다.</w:t>
      </w:r>
    </w:p>
    <w:p>
      <w:r>
        <w:drawing>
          <wp:inline distT="0" distR="0" distB="0" distL="0">
            <wp:extent cx="5715000" cy="35814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쿼리 기반 파서</w:t>
      </w:r>
    </w:p>
    <w:p>
      <w:r>
        <w:t>쿼리를 이용하여 파싱을 수행합니다. 쿼리 문법을 그대로 사용할 수 있으므로 다른 파서에 비해 상대적으로 복잡하고 정교한 파싱을 수행할 수 있습니다.</w:t>
      </w:r>
    </w:p>
    <w:p>
      <w:pPr>
        <w:numPr>
          <w:numId w:val="10"/>
        </w:numPr>
        <w:spacing w:before="0" w:after="0"/>
        <w:ind w:left="360" w:hanging="360"/>
      </w:pPr>
      <w:r>
        <w:t>쿼리: 로그 파싱에 사용할 쿼리문을 입력합니다. 쿼리 문자열, 입력 로그와 쿼리 결과가 일대일로 매핑되는 쿼리 커맨드를 파이프로 연결한 쿼리를 설정할 수 있습니다.</w:t>
      </w:r>
    </w:p>
    <w:p>
      <w:r>
        <w:drawing>
          <wp:inline distT="0" distR="0" distB="0" distL="0">
            <wp:extent cx="5715000" cy="32004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태그 파서</w:t>
      </w:r>
    </w:p>
    <w:p>
      <w:r>
        <w:t>지정된 태그를 추가하여 파싱합니다.</w:t>
      </w:r>
    </w:p>
    <w:p>
      <w:pPr>
        <w:numPr>
          <w:numId w:val="11"/>
        </w:numPr>
        <w:spacing w:before="0" w:after="0"/>
        <w:ind w:left="360" w:hanging="360"/>
      </w:pPr>
      <w:r>
        <w:t>태그 목록: 쉼표로 구분된 키=값 형태의 태그 목록</w:t>
      </w:r>
    </w:p>
    <w:p>
      <w:r>
        <w:drawing>
          <wp:inline distT="0" distR="0" distB="0" distL="0">
            <wp:extent cx="5715000" cy="30861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파서 선택기</w:t>
      </w:r>
    </w:p>
    <w:p>
      <w:r>
        <w:t>표현식 조건과 일치하는 첫번째 파서를 선택하여 파싱을 수행합니다.</w:t>
      </w:r>
    </w:p>
    <w:p>
      <w:pPr>
        <w:numPr>
          <w:numId w:val="12"/>
        </w:numPr>
        <w:spacing w:before="0" w:after="0"/>
        <w:ind w:left="360" w:hanging="360"/>
      </w:pPr>
      <w:r>
        <w:t>조건: 파서를 선택할 조건 쿼리를 입력합니다. 여러 조건을 만족할 경우 가장 첫 번째 조건에 해당하는 파서를 선택합니다.</w:t>
      </w:r>
    </w:p>
    <w:p>
      <w:pPr>
        <w:numPr>
          <w:numId w:val="12"/>
        </w:numPr>
        <w:spacing w:before="0" w:after="0"/>
        <w:ind w:left="360" w:hanging="360"/>
      </w:pPr>
      <w:r>
        <w:t>반환값: 조건을 만족할 경우 사용할 파서 값을 입력합니다.</w:t>
      </w:r>
    </w:p>
    <w:p>
      <w:pPr>
        <w:numPr>
          <w:numId w:val="12"/>
        </w:numPr>
        <w:spacing w:before="0" w:after="0"/>
        <w:ind w:left="360" w:hanging="360"/>
      </w:pPr>
      <w:r>
        <w:t xml:space="preserve">여러 조건을 입력할 경우 </w:t>
      </w:r>
      <w:r>
        <w:rPr>
          <w:rStyle w:val="af4"/>
        </w:rPr>
        <w:t>+</w:t>
      </w:r>
      <w:r>
        <w:t xml:space="preserve"> 버튼을 클릭하여 새 조건을 생성합니다.</w:t>
      </w:r>
    </w:p>
    <w:p>
      <w:r>
        <w:drawing>
          <wp:inline distT="0" distR="0" distB="0" distL="0">
            <wp:extent cx="5715000" cy="35687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파서 체인</w:t>
      </w:r>
    </w:p>
    <w:p>
      <w:r>
        <w:t>여러개 파서를 조합하여 만든 체인을 이용하여 파싱합니다.</w:t>
      </w:r>
    </w:p>
    <w:p>
      <w:pPr>
        <w:numPr>
          <w:numId w:val="13"/>
        </w:numPr>
        <w:spacing w:before="0" w:after="0"/>
        <w:ind w:left="360" w:hanging="360"/>
      </w:pPr>
      <w:r>
        <w:t>파서 이름 목록: 쉼표로 구분된 파서 이름 목록을 입력합니다. 입력한 순서대로 파서가 동작합니다.</w:t>
      </w:r>
    </w:p>
    <w:p>
      <w:r>
        <w:drawing>
          <wp:inline distT="0" distR="0" distB="0" distL="0">
            <wp:extent cx="5715000" cy="3098800"/>
            <wp:docPr id="8" name="Drawing 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필드 이름 변경 파서</w:t>
      </w:r>
    </w:p>
    <w:p>
      <w:r>
        <w:t>필드 이름을 변경합니다.</w:t>
      </w:r>
    </w:p>
    <w:p>
      <w:pPr>
        <w:numPr>
          <w:numId w:val="14"/>
        </w:numPr>
        <w:spacing w:before="0" w:after="0"/>
        <w:ind w:left="360" w:hanging="360"/>
      </w:pPr>
      <w:r>
        <w:t>필드 이름 변환 목록: 쉼표로 구분되는 원본필드=변경필드 형식의 이름 목록을 입력합니다.</w:t>
      </w:r>
    </w:p>
    <w:p>
      <w:r>
        <w:drawing>
          <wp:inline distT="0" distR="0" distB="0" distL="0">
            <wp:extent cx="5715000" cy="3098800"/>
            <wp:docPr id="9" name="Drawing 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16" Target="media/image7.png" Type="http://schemas.openxmlformats.org/officeDocument/2006/relationships/image"/><Relationship Id="rId17" Target="media/image8.png" Type="http://schemas.openxmlformats.org/officeDocument/2006/relationships/image"/><Relationship Id="rId18" Target="media/image9.png" Type="http://schemas.openxmlformats.org/officeDocument/2006/relationships/image"/><Relationship Id="rId19" Target="media/image10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