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구분자 및 IP 토크나이저</w:t>
      </w:r>
    </w:p>
    <w:p>
      <w:r>
        <w:t>지정된 구분자를 이용하여 풀텍스트 토큰을 추출하고, 추가로 IPv4 주소 형식의 토큰을 추출합니다.</w:t>
      </w:r>
    </w:p>
    <w:p>
      <w:pPr>
        <w:numPr>
          <w:numId w:val="6"/>
        </w:numPr>
        <w:spacing w:before="0" w:after="0"/>
        <w:ind w:left="360" w:hanging="360"/>
      </w:pPr>
      <w:r>
        <w:t>구분자: 구분자 목록을 입력합니다. 미설정 시 모든 아스키 특수문자가 지정됩니다.</w:t>
      </w:r>
    </w:p>
    <w:p>
      <w:pPr>
        <w:numPr>
          <w:numId w:val="6"/>
        </w:numPr>
        <w:spacing w:before="0" w:after="0"/>
        <w:ind w:left="360" w:hanging="360"/>
      </w:pPr>
      <w:r>
        <w:t>대상 필드 목록: 토큰을 추출할 대상 필드 이름을 쉼표로 구분하여 입력합니다.</w:t>
      </w:r>
    </w:p>
    <w:p>
      <w:pPr>
        <w:numPr>
          <w:numId w:val="6"/>
        </w:numPr>
        <w:spacing w:before="0" w:after="0"/>
        <w:ind w:left="360" w:hanging="360"/>
      </w:pPr>
      <w:r>
        <w:t>B클래스 토큰 추가: 값으로 true 혹은 false를 입력합니다. 기본 값은 false입니다.</w:t>
      </w:r>
    </w:p>
    <w:p>
      <w:pPr>
        <w:numPr>
          <w:numId w:val="6"/>
        </w:numPr>
        <w:spacing w:before="0" w:after="0"/>
        <w:ind w:left="360" w:hanging="360"/>
      </w:pPr>
      <w:r>
        <w:t>C클래스 토큰 추가: 값으로 true 혹은 false를 입력합니다. 기본 값은 false입니다.</w:t>
      </w:r>
    </w:p>
    <w:p>
      <w:pPr>
        <w:numPr>
          <w:numId w:val="6"/>
        </w:numPr>
        <w:spacing w:before="0" w:after="0"/>
        <w:ind w:left="360" w:hanging="360"/>
      </w:pPr>
      <w:r>
        <w:t>IP 타입 토큰 추가: 값으로 true 혹은 false를 입력합니다. 기본 값은 false입니다.</w:t>
      </w:r>
    </w:p>
    <w:p>
      <w:r>
        <w:drawing>
          <wp:inline distT="0" distR="0" distB="0" distL="0">
            <wp:extent cx="5715000" cy="6477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