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프로시저 편집</w:t>
      </w:r>
    </w:p>
    <w:p>
      <w:pPr>
        <w:pStyle w:val="a7"/>
      </w:pPr>
      <w:r>
        <w:t>단계 1</w:t>
      </w:r>
    </w:p>
    <w:p>
      <w:r>
        <w:t xml:space="preserve">편집할 프로시저를 선택한 후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2019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프로시저를 편집한 후 </w:t>
      </w:r>
      <w:r>
        <w:rPr>
          <w:rStyle w:val="af4"/>
        </w:rPr>
        <w:t>완료</w:t>
      </w:r>
      <w:r>
        <w:t xml:space="preserve"> 버튼을 눌러 편집을 완료합니다.</w:t>
      </w:r>
    </w:p>
    <w:p>
      <w:r>
        <w:drawing>
          <wp:inline distT="0" distR="0" distB="0" distL="0">
            <wp:extent cx="5715000" cy="8166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프로시저 편집이 완료되었습니다.</w:t>
      </w:r>
    </w:p>
    <w:p>
      <w:r>
        <w:drawing>
          <wp:inline distT="0" distR="0" distB="0" distL="0">
            <wp:extent cx="5715000" cy="5651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