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필드 할당</w:t>
      </w:r>
    </w:p>
    <w:p>
      <w:r>
        <w:t>새로운 필드를 할당하거나 기존 필드의 값을 바꿉니다.</w:t>
      </w:r>
    </w:p>
    <w:p>
      <w:pPr>
        <w:pStyle w:val="a7"/>
      </w:pPr>
      <w:r>
        <w:t>예제 1</w:t>
      </w:r>
    </w:p>
    <w:p>
      <w:r>
        <w:t>size_category란 필드에 size가 100000보다 크면 "large", 100000보다 작고 50000보다 크면 "medium", 50000보다 작으면 "small"이란 문자열 값을 할당합니다.</w:t>
      </w:r>
    </w:p>
    <w:p>
      <w:r>
        <w:drawing>
          <wp:inline distT="0" distR="0" distB="0" distL="0">
            <wp:extent cx="5715000" cy="6489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예제 2</w:t>
      </w:r>
    </w:p>
    <w:p>
      <w:r>
        <w:t>client 필드 타입을 IP 타입으로 변환합니다.</w:t>
      </w:r>
    </w:p>
    <w:p>
      <w:r>
        <w:drawing>
          <wp:inline distT="0" distR="0" distB="0" distL="0">
            <wp:extent cx="5715000" cy="2197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