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외부 대시보드 공유</w:t>
      </w:r>
    </w:p>
    <w:p>
      <w:r>
        <w:t>특정 대시보드 프리셋 공유 URL을 생성하여, 로그프레소 웹UI에 접속하지 않고도 해당 대시보드 내용을 볼 수 있습니다.</w:t>
      </w:r>
    </w:p>
    <w:p>
      <w:pPr>
        <w:pStyle w:val="a7"/>
      </w:pPr>
      <w:r>
        <w:t>단계 1</w:t>
      </w:r>
    </w:p>
    <w:p>
      <w:r>
        <w:rPr>
          <w:rStyle w:val="af4"/>
        </w:rPr>
        <w:t>공유</w:t>
      </w:r>
      <w:r>
        <w:t xml:space="preserve"> &gt; </w:t>
      </w:r>
      <w:r>
        <w:rPr>
          <w:rStyle w:val="af4"/>
        </w:rPr>
        <w:t>외부 대시보드 공유</w:t>
      </w:r>
      <w:r>
        <w:t>를 클릭합니다.</w:t>
      </w:r>
    </w:p>
    <w:p>
      <w:r>
        <w:drawing>
          <wp:inline distT="0" distR="0" distB="0" distL="0">
            <wp:extent cx="5715000" cy="3238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공유에 사용할 일반 사용자 계정을 선택합니다. API 키가 존재하는 계정은 별도로 표시가 되며, API 키가 없는 계정을 선택하면 자동으로 API 키를 생성합니다.</w:t>
      </w:r>
    </w:p>
    <w:p>
      <w:r>
        <w:drawing>
          <wp:inline distT="0" distR="0" distB="0" distL="0">
            <wp:extent cx="5715000" cy="3619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대시보드 공유 URL을 확인합니다. 해당 URL로 직접 대시보드를 조회하거나 iframe 태그를 이용해 다른 웹 페이지에 삽입할 수 있습니다.</w:t>
      </w:r>
    </w:p>
    <w:p>
      <w:r>
        <w:drawing>
          <wp:inline distT="0" distR="0" distB="0" distL="0">
            <wp:extent cx="5715000" cy="2451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