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필드 인덱스 토크나이저</w:t>
      </w:r>
    </w:p>
    <w:p>
      <w:r>
        <w:t>필드별로 인덱스를 생성합니다.</w:t>
      </w:r>
    </w:p>
    <w:p>
      <w:pPr>
        <w:numPr>
          <w:numId w:val="6"/>
        </w:numPr>
        <w:spacing w:before="0" w:after="0"/>
        <w:ind w:left="360" w:hanging="360"/>
      </w:pPr>
      <w:r>
        <w:t>구분자: 구분자 문자 목록을 입력합니다. 미설정 시 모든 아스키 특수문자가 지정됩니다.</w:t>
      </w:r>
    </w:p>
    <w:p>
      <w:pPr>
        <w:numPr>
          <w:numId w:val="6"/>
        </w:numPr>
        <w:spacing w:before="0" w:after="0"/>
        <w:ind w:left="360" w:hanging="360"/>
      </w:pPr>
      <w:r>
        <w:t>필드 타입 매핑 목록: 쉼표로 구분된 필드이름=타입 목록을 입력합니다. 타입으로 문자열 (string) 시각 (time), 정수 (int), IPv4 주소 (ipv4)를 지정할 수 있습니다. 타입 생략시 문자열로 지정됩니다.</w:t>
      </w:r>
    </w:p>
    <w:p>
      <w:pPr>
        <w:numPr>
          <w:numId w:val="6"/>
        </w:numPr>
        <w:spacing w:before="0" w:after="0"/>
        <w:ind w:left="360" w:hanging="360"/>
      </w:pPr>
      <w:r>
        <w:t>미지정 필드 포함: 필드 타입 매핑 목록에 지정하지 않은 모든 필드를 인덱싱합니다. 값으로 true 혹은 false를 입력합니다.</w:t>
      </w:r>
    </w:p>
    <w:p>
      <w:r>
        <w:drawing>
          <wp:inline distT="0" distR="0" distB="0" distL="0">
            <wp:extent cx="5715000" cy="624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