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파일</w:t>
      </w:r>
    </w:p>
    <w:p>
      <w:r>
        <w:rPr>
          <w:b w:val="on"/>
        </w:rPr>
        <w:t>OpenSSH 파서</w:t>
      </w:r>
    </w:p>
    <w:p>
      <w:r>
        <w:t>OpenSSH 로그 파일을 파싱합니다. 별도로 설정할 항목은 없습니다.</w:t>
      </w:r>
    </w:p>
    <w:p>
      <w:r>
        <w:rPr>
          <w:b w:val="on"/>
        </w:rPr>
        <w:t>넷스케일러 MPX 파서</w:t>
      </w:r>
    </w:p>
    <w:p>
      <w:r>
        <w:t>시트릭스 넷스케일러 MPX 로그 파일을 파싱합니다. 별도로 설정할 항목은 없습니다.</w:t>
      </w:r>
    </w:p>
    <w:p>
      <w:r>
        <w:rPr>
          <w:b w:val="on"/>
        </w:rPr>
        <w:t>아파치 웹 로그 파서</w:t>
      </w:r>
    </w:p>
    <w:p>
      <w:r>
        <w:t>아파치 웹 로그 포맷 지시자의 조합을 이용한 아파치 웹 로그 파싱을 지원합니다.</w:t>
      </w:r>
    </w:p>
    <w:p>
      <w:pPr>
        <w:numPr>
          <w:numId w:val="6"/>
        </w:numPr>
        <w:spacing w:before="0" w:after="0"/>
        <w:ind w:left="360" w:hanging="360"/>
      </w:pPr>
      <w:r>
        <w:t>LogFormat 옵션 설정: 아파치 웹 서버의 설정 파일에서 LogFormat 지시어로 설정된 로그 형식을 입력합니다.</w:t>
      </w:r>
    </w:p>
    <w:p>
      <w:r>
        <w:drawing>
          <wp:inline distT="0" distR="0" distB="0" distL="0">
            <wp:extent cx="5715000" cy="309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이워커 파서</w:t>
      </w:r>
    </w:p>
    <w:p>
      <w:r>
        <w:t>수산아이앤티 eWalker 로그 파일을 파싱합니다. 별도로 설정할 항목은 없습니다.</w:t>
      </w:r>
    </w:p>
    <w:p>
      <w:r>
        <w:rPr>
          <w:b w:val="on"/>
        </w:rPr>
        <w:t>코어브리지 파서</w:t>
      </w:r>
    </w:p>
    <w:p>
      <w:r>
        <w:t>지온공작소 코어브리지 로그 파일을 파싱합니다. 별도로 설정할 항목은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