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공통 사항</w:t>
      </w:r>
    </w:p>
    <w:p>
      <w:pPr>
        <w:numPr>
          <w:numId w:val="6"/>
        </w:numPr>
        <w:spacing w:before="0" w:after="0"/>
        <w:ind w:left="360" w:hanging="360"/>
      </w:pPr>
      <w:r>
        <w:t>토크나이저: 원본 로그에서 인덱싱할 대상 토큰들을 추출하는 토크나이저의 이름을 지정합니다. 토크나이저에 따라 다른 설정을 추가로 입력받게 됩니다.</w:t>
      </w:r>
    </w:p>
    <w:p>
      <w:pPr>
        <w:numPr>
          <w:numId w:val="6"/>
        </w:numPr>
        <w:spacing w:before="0" w:after="0"/>
        <w:ind w:left="360" w:hanging="360"/>
      </w:pPr>
      <w:r>
        <w:t>블룸필터 사용 여부: 로그 량이 많은 경우 블룸필터를 생성하면 디스크 공간을 추가로 소모하지만 높은 검색 성능을 얻을 수 있습니다.</w:t>
      </w:r>
    </w:p>
    <w:p>
      <w:pPr>
        <w:numPr>
          <w:numId w:val="6"/>
        </w:numPr>
        <w:spacing w:before="0" w:after="0"/>
        <w:ind w:left="360" w:hanging="360"/>
      </w:pPr>
      <w:r>
        <w:t>데이터 위치: 인덱스 루트 경로를 입력합니다. 기본적으로는 $araqne.data.dir 경로 하에 생성됩니다.</w:t>
      </w:r>
    </w:p>
    <w:p>
      <w:pPr>
        <w:numPr>
          <w:numId w:val="6"/>
        </w:numPr>
        <w:spacing w:before="0" w:after="0"/>
        <w:ind w:left="360" w:hanging="360"/>
      </w:pPr>
      <w:r>
        <w:t>인덱싱 대상 기간: 아래에서 과거 데이터에 대해 인덱스 빌드를 선택한 경우 어느 일자부터 인덱싱할 것인지 지정할 수 있습니다. 미래의 날짜를 지정할 경우 해당 일자 이하에 대해서는 인덱싱을 수행하지 않습니다.</w:t>
      </w:r>
    </w:p>
    <w:p>
      <w:pPr>
        <w:numPr>
          <w:numId w:val="6"/>
        </w:numPr>
        <w:spacing w:before="0" w:after="0"/>
        <w:ind w:left="360" w:hanging="360"/>
      </w:pPr>
      <w:r>
        <w:t>기존 데이터에 대한 인덱스 빌드 여부: 인덱스 생성 시점 이후에 들어오는 로그만 인덱싱할 것인지, 이전에 쌓인 로그도 인덱싱 할 것인지 설정합니다. 만약 과거 데이터에 대하여 인덱싱을 선택하면 배치로 인덱스가 빌드된 다음 실시간 인덱스와 자동으로 병합됩니다.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