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부서 위치 이동</w:t>
      </w:r>
    </w:p>
    <w:p>
      <w:r>
        <w:t>부서의 위치를 바꿔 상위 부서나 하위 부서를 변경할 수 있습니다. 부서의 이름을 드래그해서 다른 부서 위에서 놓으면 해당 그룹의 하위 그룹으로 등록됩니다.</w:t>
      </w:r>
    </w:p>
    <w:p>
      <w:pPr>
        <w:pStyle w:val="a7"/>
      </w:pPr>
      <w:r>
        <w:t>단계 1</w:t>
      </w:r>
    </w:p>
    <w:p>
      <w:r>
        <w:drawing>
          <wp:inline distT="0" distR="0" distB="0" distL="0">
            <wp:extent cx="3314700" cy="378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drawing>
          <wp:inline distT="0" distR="0" distB="0" distL="0">
            <wp:extent cx="3314700" cy="391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drawing>
          <wp:inline distT="0" distR="0" distB="0" distL="0">
            <wp:extent cx="3314700" cy="3416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