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쿼리 기반 필드 추출 토크나이저</w:t>
      </w:r>
    </w:p>
    <w:p>
      <w:r>
        <w:t>쿼리를 이용하여 원본 데이터에서 필드 인덱스 토큰을 추출합니다.</w:t>
      </w:r>
    </w:p>
    <w:p>
      <w:pPr>
        <w:numPr>
          <w:numId w:val="6"/>
        </w:numPr>
        <w:spacing w:before="0" w:after="0"/>
        <w:ind w:left="360" w:hanging="360"/>
      </w:pPr>
      <w:r>
        <w:t>인덱스 토큰 추출 쿼리: 필드 인덱스 토큰을 추출하는 쿼리를 입력합니다. 미설정 시 원본 데이터를 인덱싱합니다.</w:t>
      </w:r>
    </w:p>
    <w:p>
      <w:pPr>
        <w:numPr>
          <w:numId w:val="6"/>
        </w:numPr>
        <w:spacing w:before="0" w:after="0"/>
        <w:ind w:left="360" w:hanging="360"/>
      </w:pPr>
      <w:r>
        <w:t>토크나이징 제외 대상 필드: 추출된 필드 중 구분자로 잘라서 인덱스 하지 않을 필드 목록을 쉼표로 구분하여 입력합니다.</w:t>
      </w:r>
    </w:p>
    <w:p>
      <w:pPr>
        <w:numPr>
          <w:numId w:val="6"/>
        </w:numPr>
        <w:spacing w:before="0" w:after="0"/>
        <w:ind w:left="360" w:hanging="360"/>
      </w:pPr>
      <w:r>
        <w:t>익명화 필드 목록: 필드 이름을 지정하지 않고 풀텍스트 검색할 필드 목록을 쉼표로 구분하여 입력합니다.</w:t>
      </w:r>
    </w:p>
    <w:p>
      <w:pPr>
        <w:numPr>
          <w:numId w:val="6"/>
        </w:numPr>
        <w:spacing w:before="0" w:after="0"/>
        <w:ind w:left="360" w:hanging="360"/>
      </w:pPr>
      <w:r>
        <w:t>구분자: 구분자 목록을 입력합니다. 미설정 시 모든 아스키 특수문자가 지정됩니다.</w:t>
      </w:r>
    </w:p>
    <w:p>
      <w:pPr>
        <w:numPr>
          <w:numId w:val="6"/>
        </w:numPr>
        <w:spacing w:before="0" w:after="0"/>
        <w:ind w:left="360" w:hanging="360"/>
      </w:pPr>
      <w:r>
        <w:t>프리픽스 구분자: 프리픽스 구분자 문자 목록을 입력합니다. 가령 .을 지정할 경우 1.2.3.4의 값이 있으면 1, 2, 3, 4, 1., 1.2., 1.2.3., 1.2.3.4 토큰이 추출됩니다.</w:t>
      </w:r>
    </w:p>
    <w:p>
      <w:r>
        <w:drawing>
          <wp:inline distT="0" distR="0" distB="0" distL="0">
            <wp:extent cx="5715000" cy="7200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