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정규표현식 토크나이저</w:t>
      </w:r>
    </w:p>
    <w:p>
      <w:r>
        <w:t>정규표현식을 사용하여 특정한 패턴의 토큰만 인덱싱 할 수 있습니다.</w:t>
      </w:r>
    </w:p>
    <w:p>
      <w:pPr>
        <w:numPr>
          <w:numId w:val="6"/>
        </w:numPr>
        <w:spacing w:before="0" w:after="0"/>
        <w:ind w:left="360" w:hanging="360"/>
      </w:pPr>
      <w:r>
        <w:t>정규표현식: 풀텍스트 토큰 추출에 사용할 정규표현식을 입력합니다.</w:t>
      </w:r>
    </w:p>
    <w:p>
      <w:r>
        <w:drawing>
          <wp:inline distT="0" distR="0" distB="0" distL="0">
            <wp:extent cx="5715000" cy="544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