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부서 삭제</w:t>
      </w:r>
    </w:p>
    <w:p>
      <w:pPr>
        <w:pStyle w:val="a7"/>
      </w:pPr>
      <w:r>
        <w:t>단계 1</w:t>
      </w:r>
    </w:p>
    <w:p>
      <w:r>
        <w:t xml:space="preserve">생성된 부서를 삭제하기 위하여 부서를 선택한 후 </w:t>
      </w:r>
      <w:r>
        <w:rPr>
          <w:rStyle w:val="af4"/>
        </w:rPr>
        <w:t>삭제</w:t>
      </w:r>
      <w:r>
        <w:t xml:space="preserve"> 메뉴를 선택합니다.</w:t>
      </w:r>
    </w:p>
    <w:p>
      <w:r>
        <w:drawing>
          <wp:inline distT="0" distR="0" distB="0" distL="0">
            <wp:extent cx="3289300" cy="5181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메뉴를 선택하여 삭제를 완료합니다</w:t>
      </w:r>
    </w:p>
    <w:p>
      <w:r>
        <w:drawing>
          <wp:inline distT="0" distR="0" distB="0" distL="0">
            <wp:extent cx="5715000" cy="1333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