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삭제</w:t>
      </w:r>
    </w:p>
    <w:p>
      <w:r>
        <w:t>태스크 삭제 아이콘을 클릭하면 해당 태스크가 삭제됩니다.</w:t>
      </w:r>
    </w:p>
    <w:p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태스크 삭제 확인 창에서 삭제할 태스크를 확인하고 </w:t>
      </w:r>
      <w:r>
        <w:rPr>
          <w:rStyle w:val="af4"/>
        </w:rPr>
        <w:t>삭제</w:t>
      </w:r>
      <w:r>
        <w:t xml:space="preserve"> 버튼을 눌러 해당 태스크를 삭제합니다.</w:t>
      </w:r>
    </w:p>
    <w:p>
      <w:r>
        <w:drawing>
          <wp:inline distT="0" distR="0" distB="0" distL="0">
            <wp:extent cx="5715000" cy="1397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