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프로시저 실행</w:t>
      </w:r>
    </w:p>
    <w:p>
      <w:r>
        <w:t xml:space="preserve">프로시저를 실행할 수 있는 방법은 두 가지가 있습니다. 쿼리문에서 PROC 명령어를 사용해 직접 프로시저를 호출하는 방법이 있고, 프로시저 메뉴에서 원하는 프로시저의 실행 버튼을 클릭해 </w:t>
      </w:r>
      <w:r>
        <w:rPr>
          <w:rStyle w:val="af4"/>
        </w:rPr>
        <w:t>실행</w:t>
      </w:r>
      <w:r>
        <w:t>하는 방법이 있습니다.</w:t>
      </w:r>
    </w:p>
    <w:p>
      <w:pPr>
        <w:pStyle w:val="a7"/>
      </w:pPr>
      <w:r>
        <w:t>단계 1</w:t>
      </w:r>
    </w:p>
    <w:p>
      <w:r>
        <w:t xml:space="preserve">프로시저 메뉴에서 원하는 프로시저의 </w:t>
      </w:r>
      <w:r>
        <w:rPr>
          <w:rStyle w:val="af4"/>
        </w:rPr>
        <w:t>실행</w:t>
      </w:r>
      <w:r>
        <w:t xml:space="preserve"> 버튼을 클릭합니다.</w:t>
      </w:r>
    </w:p>
    <w:p>
      <w:r>
        <w:drawing>
          <wp:inline distT="0" distR="0" distB="0" distL="0">
            <wp:extent cx="5715000" cy="147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프로시저 조회 창에서도 프로시저를 실행할 수 있습니다.</w:t>
      </w:r>
    </w:p>
    <w:p>
      <w:r>
        <w:drawing>
          <wp:inline distT="0" distR="0" distB="0" distL="0">
            <wp:extent cx="5715000" cy="1930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원하는 매개변수 값을 입력하고 </w:t>
      </w:r>
      <w:r>
        <w:rPr>
          <w:rStyle w:val="af4"/>
        </w:rPr>
        <w:t>실행</w:t>
      </w:r>
      <w:r>
        <w:t xml:space="preserve"> 버튼을 클릭합니다.</w:t>
      </w:r>
    </w:p>
    <w:p>
      <w:r>
        <w:drawing>
          <wp:inline distT="0" distR="0" distB="0" distL="0">
            <wp:extent cx="5715000" cy="1409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애드혹 쿼리 창에서 프로시저 실행 결과를 확인합니다. 입력한 매개변수에 맞게 프로시저 호출문이 생성되어 실행됩니다.</w:t>
      </w:r>
    </w:p>
    <w:p>
      <w:pPr>
        <w:pStyle w:val="af1"/>
      </w:pPr>
      <w:r>
        <w:t>쿼리 창에서 proc 프로시저명(매개변수1,매개변수2,...) 형식으로 프로시저를 호출할 수도 있습니다.</w:t>
      </w:r>
    </w:p>
    <w:p>
      <w:r>
        <w:drawing>
          <wp:inline distT="0" distR="0" distB="0" distL="0">
            <wp:extent cx="5715000" cy="30099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