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워크플로우 실행</w:t>
      </w:r>
    </w:p>
    <w:p>
      <w:r>
        <w:t xml:space="preserve">워크플로우 화면에서 원하는 워크플로우를 실행시킬 수 있습니다. 워크플로우 목록에서 원하는 워크플로우의 </w:t>
      </w:r>
      <w:r>
        <w:rPr>
          <w:rStyle w:val="af4"/>
        </w:rPr>
        <w:t>실행</w:t>
      </w:r>
      <w:r>
        <w:t xml:space="preserve"> 버튼을 클릭하면 됩니다.</w:t>
      </w:r>
    </w:p>
    <w:p>
      <w:pPr>
        <w:pStyle w:val="af3"/>
      </w:pPr>
      <w:r>
        <w:t>워크플로우가 비활성화 되어있거나, 유형이 파일 변경이나 예약 일정이어도 직접 실행할 수 있습니다.</w:t>
      </w:r>
    </w:p>
    <w:p>
      <w:r>
        <w:drawing>
          <wp:inline distT="0" distR="0" distB="0" distL="0">
            <wp:extent cx="5715000" cy="1409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워크플로우 실행 확인 창에서 실행할 워크플로우를 확인하고 </w:t>
      </w:r>
      <w:r>
        <w:rPr>
          <w:rStyle w:val="af4"/>
        </w:rPr>
        <w:t>실행</w:t>
      </w:r>
      <w:r>
        <w:t xml:space="preserve"> 버튼을 클릭합니다.</w:t>
      </w:r>
    </w:p>
    <w:p>
      <w:r>
        <w:drawing>
          <wp:inline distT="0" distR="0" distB="0" distL="0">
            <wp:extent cx="5715000" cy="1371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워크플로우 내 태스크가 입력 매개변수가 필요한 경우 실행 시점에 매개변수 값을 입력합니다.</w:t>
      </w:r>
    </w:p>
    <w:p>
      <w:r>
        <w:drawing>
          <wp:inline distT="0" distR="0" distB="0" distL="0">
            <wp:extent cx="5715000" cy="29718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워크플로우를 실행시키면 워크플로우 실행 모니터 화면이 표시됩니다. 각 태스크 별 진행상태와 실행시간이 표시됩니다. </w:t>
      </w:r>
      <w:r>
        <w:rPr>
          <w:rStyle w:val="af4"/>
        </w:rPr>
        <w:t>백그라운드 실행</w:t>
      </w:r>
      <w:r>
        <w:t xml:space="preserve">을 클릭하면 실행 모니터 창이 닫히고 워크플로우가 백그라운드로 실행됩니다. </w:t>
      </w:r>
      <w:r>
        <w:rPr>
          <w:rStyle w:val="af4"/>
        </w:rPr>
        <w:t>목록</w:t>
      </w:r>
      <w:r>
        <w:t xml:space="preserve">을 클릭하면 실행중인 워크플로우 목록 창이 표시됩니다. </w:t>
      </w:r>
      <w:r>
        <w:rPr>
          <w:rStyle w:val="af4"/>
        </w:rPr>
        <w:t>중단</w:t>
      </w:r>
      <w:r>
        <w:t>을 클릭하면 해당 워크플로우가 중단됩니다.</w:t>
      </w:r>
    </w:p>
    <w:p>
      <w:r>
        <w:drawing>
          <wp:inline distT="0" distR="0" distB="0" distL="0">
            <wp:extent cx="5715000" cy="25273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모든 태스크 실행이 완료되면 워크플로우 실행도 완료됩니다. </w:t>
      </w:r>
      <w:r>
        <w:rPr>
          <w:rStyle w:val="af4"/>
        </w:rPr>
        <w:t>확인</w:t>
      </w:r>
      <w:r>
        <w:t xml:space="preserve"> 버튼을 눌러 창을 닫고 워크플로우 목록으로 돌아갈 수 있습니다.</w:t>
      </w:r>
    </w:p>
    <w:p>
      <w:r>
        <w:drawing>
          <wp:inline distT="0" distR="0" distB="0" distL="0">
            <wp:extent cx="5715000" cy="25400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