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룩업</w:t>
      </w:r>
    </w:p>
    <w:p>
      <w:r>
        <w:t>자주 조회하는 코드성 데이터가 있을 경우 룩업으로 관리할 수 있습니다. 룩업 데이터의 출처에 따라 파일 룩업과 데이터베이스 룩업으로 구분됩니다. 등록된 룩업은 lookup 쿼리문으로 조회할 수 있습니다.</w:t>
      </w:r>
    </w:p>
    <w:p>
      <w:r>
        <w:drawing>
          <wp:inline distT="0" distR="0" distB="0" distL="0">
            <wp:extent cx="5715000" cy="1879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