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인덱스 대상 기간 변경</w:t>
      </w:r>
    </w:p>
    <w:p>
      <w:r>
        <w:t>현재 입력이 수행중인 테이블에 대해 데이터를 보존하면서 특정 인덱스가 지정한 기간에 대해서만 인덱싱을 수행하도록 지정할 수 있습니다.</w:t>
      </w:r>
    </w:p>
    <w:p>
      <w:pPr>
        <w:pStyle w:val="a7"/>
      </w:pPr>
      <w:r>
        <w:t>단계 1</w:t>
      </w:r>
    </w:p>
    <w:p>
      <w:r>
        <w:t>테이블의 인덱스 메뉴의 인덱스 리스트에서 기간을 변경할 인덱스의 "편집"을 선택합니다.</w:t>
      </w:r>
    </w:p>
    <w:p>
      <w:r>
        <w:drawing>
          <wp:inline distT="0" distR="0" distB="0" distL="0">
            <wp:extent cx="5715000" cy="2260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시작과 끝 항목에 기간을 입력하거나 월력을 사용하여 기간을 선택한 후 "변경" 메뉴를 선택합니다.</w:t>
      </w:r>
    </w:p>
    <w:p>
      <w:r>
        <w:drawing>
          <wp:inline distT="0" distR="0" distB="0" distL="0">
            <wp:extent cx="5715000" cy="4864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기간 변경이 정상적으로 적용되었는지 확인합니다.</w:t>
      </w:r>
    </w:p>
    <w:p>
      <w:r>
        <w:drawing>
          <wp:inline distT="0" distR="0" distB="0" distL="0">
            <wp:extent cx="5715000" cy="17399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