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부서 관리</w:t>
      </w:r>
    </w:p>
    <w:p>
      <w:r>
        <w:t>부서는 사용자 관리에서 사용되며 사용자를 분류/관리할 때 사용됩니다. 부서를 분류할 경우는 사용자 계정의 권한 및 용도, 편의성을 고려하여 관리합니다.</w:t>
      </w:r>
    </w:p>
    <w:p>
      <w:r>
        <w:t>부서의 관리는 메인메뉴의 "계정관리" 메뉴를 사용하여 관리합니다.</w:t>
      </w:r>
    </w:p>
    <w:p>
      <w:pPr>
        <w:numPr>
          <w:numId w:val="6"/>
        </w:numPr>
        <w:spacing w:before="0" w:after="0"/>
        <w:ind w:left="360" w:hanging="360"/>
      </w:pPr>
      <w:r>
        <w:t>메인메뉴에서 "계정관리" 메뉴를 선택합니다.</w:t>
      </w:r>
    </w:p>
    <w:p>
      <w:r>
        <w:drawing>
          <wp:inline distT="0" distR="0" distB="0" distL="0">
            <wp:extent cx="5715000" cy="3086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