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플로우</w:t>
      </w:r>
    </w:p>
    <w:p>
      <w:pPr>
        <w:pStyle w:val="a7"/>
      </w:pPr>
      <w:r>
        <w:t>NetFlow 수집기</w:t>
      </w:r>
    </w:p>
    <w:p>
      <w:r>
        <w:t>UDP를 통해 넷플로우 v5와 v9 패킷을 수신합니다.</w:t>
      </w:r>
    </w:p>
    <w:p>
      <w:r>
        <w:drawing>
          <wp:inline distT="0" distR="0" distB="0" distL="0">
            <wp:extent cx="5715000" cy="316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IP 목록: 쉼표로 구분된 넷플로우 IP 목록을 입력합니다. 미입력 시 필터링 하지 않습니다.</w:t>
      </w:r>
    </w:p>
    <w:p>
      <w:pPr>
        <w:numPr>
          <w:numId w:val="6"/>
        </w:numPr>
        <w:spacing w:before="0" w:after="0"/>
        <w:ind w:left="360" w:hanging="360"/>
      </w:pPr>
      <w:r>
        <w:t>소스 ID 목록: 쉼표로 구분된 넷플로우 소스 ID 목록을 입력합니다. 미입력 시 필터링 하지 않습니다.</w:t>
      </w:r>
    </w:p>
    <w:p>
      <w:pPr>
        <w:numPr>
          <w:numId w:val="6"/>
        </w:numPr>
        <w:spacing w:before="0" w:after="0"/>
        <w:ind w:left="360" w:hanging="360"/>
      </w:pPr>
      <w:r>
        <w:t>필드 이름 필터: 필드 이름 입력시 지정된 필드만 선택적으로 수신합니다. 쉼표로 구분되는 이름 목록을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f1"/>
      </w:pPr>
      <w:r>
        <w:t>NetFlow 수집에 필요한 포트를 개방해야 수집기가 정상 동작합니다. 통신 포트를 개방하려면 콘솔에 로그인하여 flowmon.open netflow 2055 명령을 실행하세요.</w:t>
      </w:r>
    </w:p>
    <w:p>
      <w:pPr>
        <w:pStyle w:val="a7"/>
      </w:pPr>
      <w:r>
        <w:t>sFlow 수집기</w:t>
      </w:r>
    </w:p>
    <w:p>
      <w:r>
        <w:t>UDP를 통해 에스플로우 v5 패킷을 수신합니다.</w:t>
      </w:r>
    </w:p>
    <w:p>
      <w:r>
        <w:drawing>
          <wp:inline distT="0" distR="0" distB="0" distL="0">
            <wp:extent cx="5715000" cy="6477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