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선택자</w:t>
      </w:r>
    </w:p>
    <w:p>
      <w:pPr>
        <w:pStyle w:val="a7"/>
      </w:pPr>
      <w:r>
        <w:t>로그 선택자 수집기</w:t>
      </w:r>
    </w:p>
    <w:p>
      <w:r>
        <w:t>다른 로거로부터 패턴 매칭되는 특정 로그들만 수집합니다.</w:t>
      </w:r>
    </w:p>
    <w:p>
      <w:r>
        <w:drawing>
          <wp:inline distT="0" distR="0" distB="0" distL="0">
            <wp:extent cx="5715000" cy="292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원본 로거 이름: 로그를 수집할 원본 로거를 선택합니다. 기존에 생성한 로거 중에서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t>텍스트 패턴: 매칭할 대상 문자열을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정규표현식 로그 선택자 수집기</w:t>
      </w:r>
    </w:p>
    <w:p>
      <w:r>
        <w:t>정규표현식 선택자 (regex-selector) 로거는 다른 로거에서 수집하는 데이터 중 정규표현식과 일치하는 데이터만 선택적으로 가져오려고 할 때 사용합니다.</w:t>
      </w:r>
    </w:p>
    <w:p>
      <w:r>
        <w:drawing>
          <wp:inline distT="0" distR="0" distB="0" distL="0">
            <wp:extent cx="5715000" cy="3187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원본 로거 이름: 네임스페이스를 포함한 원본 로거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t>정규표현식 패턴: 원본 데이터의 line 필드 값과 비교할 정규표현식을 입력합니다.</w:t>
      </w:r>
    </w:p>
    <w:p>
      <w:pPr>
        <w:numPr>
          <w:numId w:val="7"/>
        </w:numPr>
        <w:spacing w:before="0" w:after="0"/>
        <w:ind w:left="360" w:hanging="360"/>
      </w:pPr>
      <w:r>
        <w:t>매칭 결과 반전: 정규표현식이 매칭되지 않는 데이터를 수집하려면 true를 설정합니다. 미설정 시 패턴 매칭된 데이터를 수집합니다.</w:t>
      </w:r>
    </w:p>
    <w:p>
      <w:pPr>
        <w:numPr>
          <w:numId w:val="7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