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무결성 검사</w:t>
      </w:r>
    </w:p>
    <w:p>
      <w:r>
        <w:t>테이블 생성 시 암호화 프로파일을 적용하면 무결성 점검 탭이 표시됩니다. 테이블에 저장된 특정 기간데이터에 대해 무결성 상태를 점검할 수 있습니다.</w:t>
      </w:r>
    </w:p>
    <w:p>
      <w:r>
        <w:t>"진행 상태 출력" 옵션을 체크하면 검사 진행 중 무결성 점검 결과가 정상인 블럭들도 표시됩니다.</w:t>
      </w:r>
    </w:p>
    <w:p>
      <w:r>
        <w:t xml:space="preserve">무결성 검사를 진행할 기간과 옵션을 설정하고 </w:t>
      </w:r>
      <w:r>
        <w:rPr>
          <w:rStyle w:val="af4"/>
        </w:rPr>
        <w:t>점검 시작</w:t>
      </w:r>
      <w:r>
        <w:t xml:space="preserve"> 버튼을 눌러 검사를 진행합니다.</w:t>
      </w:r>
    </w:p>
    <w:p>
      <w:r>
        <w:drawing>
          <wp:inline distT="0" distR="0" distB="0" distL="0">
            <wp:extent cx="5715000" cy="2476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4521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