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ENT#4045 REST API 호출 방법 및 URI 변경, 인덱스 토크나이저 목록 간소화</w:t>
      </w:r>
    </w:p>
    <w:p>
      <w:r>
        <w:t xml:space="preserve">REST API의 호출 방법이 변경되어 </w:t>
      </w:r>
      <w:r>
        <w:rPr>
          <w:rStyle w:val="af4"/>
        </w:rPr>
        <w:t>PUT</w:t>
      </w:r>
      <w:r>
        <w:t xml:space="preserve">, </w:t>
      </w:r>
      <w:r>
        <w:rPr>
          <w:rStyle w:val="af4"/>
        </w:rPr>
        <w:t>DELETE</w:t>
      </w:r>
      <w:r>
        <w:t xml:space="preserve"> 매핑이 추가되고, 엔드포인트 URI를 직접 지정하도록 개선했습니다. 엔드포인트 URI는 기존 대소문자 혼용 방식에서 소문자와 하이픈(</w:t>
      </w:r>
      <w:r>
        <w:rPr>
          <w:rStyle w:val="af4"/>
        </w:rPr>
        <w:t>-</w:t>
      </w:r>
      <w:r>
        <w:t>) 구성으로 일괄 변경되었습니다. 또, 테이블 인덱스 생성 화면에서 인덱스 토크나이저 유형이 2개만 표시되도록 수정되었습니다.</w:t>
      </w:r>
    </w:p>
    <w:p>
      <w:r>
        <w:rPr>
          <w:b w:val="on"/>
        </w:rPr>
        <w:t>REST API 목록 변경 내역</w:t>
      </w:r>
    </w:p>
    <w:p>
      <w:r>
        <w:t xml:space="preserve">사용할 수 있는 REST API 목록 및 명세는 </w:t>
      </w:r>
      <w:hyperlink r:id="rId10">
        <w:r>
          <w:rPr>
            <w:rStyle w:val="a6"/>
          </w:rPr>
          <w:t>REST API 매뉴얼</w:t>
        </w:r>
      </w:hyperlink>
      <w:r>
        <w:t xml:space="preserve"> 페이지에서 확인하실 수 있습니다. 또는, 로그프레소 호스트의 api 페이지(예: </w:t>
      </w:r>
      <w:r>
        <w:rPr>
          <w:rStyle w:val="af4"/>
        </w:rPr>
        <w:t>http://192.168.0.5:8888/api/</w:t>
      </w:r>
      <w:r>
        <w:t xml:space="preserve">, </w:t>
      </w:r>
      <w:r>
        <w:rPr>
          <w:rStyle w:val="af4"/>
        </w:rPr>
        <w:t>https://example.com/api/</w:t>
      </w:r>
      <w:r>
        <w:t>)에 접근한 후 웹 UI 관리자 계정으로 로그인하여 확인하실 수 있습니다. 다음은 기존 방식과 변경된 방식을 비교한 내용입니다.</w:t>
      </w:r>
    </w:p>
    <w:p>
      <w:r>
        <w:rPr>
          <w:b w:val="on"/>
        </w:rPr>
        <w:t>변경 전</w:t>
      </w:r>
    </w:p>
    <w:p>
      <w:r>
        <w:rPr>
          <w:rStyle w:val="af4"/>
        </w:rPr>
        <w:t>GET</w:t>
      </w:r>
      <w:r>
        <w:t xml:space="preserve">, </w:t>
      </w:r>
      <w:r>
        <w:rPr>
          <w:rStyle w:val="af4"/>
        </w:rPr>
        <w:t>POST</w:t>
      </w:r>
      <w:r>
        <w:t xml:space="preserve"> 메소드만 지원하고, 각 동작에 대해 엔드포인트 URI가 하나씩 존재합니다.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특정 계정 조회 </w:t>
      </w:r>
      <w:r>
        <w:rPr>
          <w:rStyle w:val="af4"/>
        </w:rPr>
        <w:t>GET /user/getUser</w:t>
      </w:r>
    </w:p>
    <w:p>
      <w:pPr>
        <w:numPr>
          <w:numId w:val="6"/>
        </w:numPr>
        <w:spacing w:before="0" w:after="0"/>
        <w:ind w:left="360" w:hanging="360"/>
      </w:pPr>
      <w:r>
        <w:t xml:space="preserve">계정 목록 조회 </w:t>
      </w:r>
      <w:r>
        <w:rPr>
          <w:rStyle w:val="af4"/>
        </w:rPr>
        <w:t>GET /user/getUsers</w:t>
      </w:r>
    </w:p>
    <w:p>
      <w:pPr>
        <w:numPr>
          <w:numId w:val="6"/>
        </w:numPr>
        <w:spacing w:before="0" w:after="0"/>
        <w:ind w:left="360" w:hanging="360"/>
      </w:pPr>
      <w:r>
        <w:t xml:space="preserve">사용자 계정 생성 </w:t>
      </w:r>
      <w:r>
        <w:rPr>
          <w:rStyle w:val="af4"/>
        </w:rPr>
        <w:t>POST /user/createUser</w:t>
      </w:r>
    </w:p>
    <w:p>
      <w:pPr>
        <w:numPr>
          <w:numId w:val="6"/>
        </w:numPr>
        <w:spacing w:before="0" w:after="0"/>
        <w:ind w:left="360" w:hanging="360"/>
      </w:pPr>
      <w:r>
        <w:t xml:space="preserve">사용자 계정 수정 </w:t>
      </w:r>
      <w:r>
        <w:rPr>
          <w:rStyle w:val="af4"/>
        </w:rPr>
        <w:t>POST /user/updateUser</w:t>
      </w:r>
    </w:p>
    <w:p>
      <w:pPr>
        <w:numPr>
          <w:numId w:val="6"/>
        </w:numPr>
        <w:spacing w:before="0" w:after="0"/>
        <w:ind w:left="400" w:hanging="360"/>
      </w:pPr>
      <w:r>
        <w:t xml:space="preserve">사용자 계정 삭제 </w:t>
      </w:r>
      <w:r>
        <w:rPr>
          <w:rStyle w:val="af4"/>
        </w:rPr>
        <w:t>POST /user/removeUsers</w:t>
      </w:r>
    </w:p>
    <w:p>
      <w:r>
        <w:rPr>
          <w:b w:val="on"/>
        </w:rPr>
        <w:t>변경 후</w:t>
      </w:r>
    </w:p>
    <w:p>
      <w:r>
        <w:rPr>
          <w:rStyle w:val="af4"/>
        </w:rPr>
        <w:t>PUT</w:t>
      </w:r>
      <w:r>
        <w:t xml:space="preserve">, </w:t>
      </w:r>
      <w:r>
        <w:rPr>
          <w:rStyle w:val="af4"/>
        </w:rPr>
        <w:t>DELETE</w:t>
      </w:r>
      <w:r>
        <w:t xml:space="preserve"> 메소드를 지원합니다. 같은 엔드포인트 URI에 대해 요청 메소드에 따라 다르게 동작합니다.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특정 계정 조회 </w:t>
      </w:r>
      <w:r>
        <w:rPr>
          <w:rStyle w:val="af4"/>
        </w:rPr>
        <w:t>GET /api/model/users/:login_name</w:t>
      </w:r>
    </w:p>
    <w:p>
      <w:pPr>
        <w:numPr>
          <w:numId w:val="7"/>
        </w:numPr>
        <w:spacing w:before="0" w:after="0"/>
        <w:ind w:left="360" w:hanging="360"/>
      </w:pPr>
      <w:r>
        <w:t xml:space="preserve">계정 목록 조회 </w:t>
      </w:r>
      <w:r>
        <w:rPr>
          <w:rStyle w:val="af4"/>
        </w:rPr>
        <w:t>GET /api/model/users</w:t>
      </w:r>
    </w:p>
    <w:p>
      <w:pPr>
        <w:numPr>
          <w:numId w:val="7"/>
        </w:numPr>
        <w:spacing w:before="0" w:after="0"/>
        <w:ind w:left="360" w:hanging="360"/>
      </w:pPr>
      <w:r>
        <w:t xml:space="preserve">사용자 계정 생성 </w:t>
      </w:r>
      <w:r>
        <w:rPr>
          <w:rStyle w:val="af4"/>
        </w:rPr>
        <w:t>POST /api/model/users</w:t>
      </w:r>
    </w:p>
    <w:p>
      <w:pPr>
        <w:numPr>
          <w:numId w:val="7"/>
        </w:numPr>
        <w:spacing w:before="0" w:after="0"/>
        <w:ind w:left="360" w:hanging="360"/>
      </w:pPr>
      <w:r>
        <w:t xml:space="preserve">사용자 계정 수정 </w:t>
      </w:r>
      <w:r>
        <w:rPr>
          <w:rStyle w:val="af4"/>
        </w:rPr>
        <w:t>PUT /api/model/users/:login_name</w:t>
      </w:r>
    </w:p>
    <w:p>
      <w:pPr>
        <w:numPr>
          <w:numId w:val="7"/>
        </w:numPr>
        <w:spacing w:before="0" w:after="0"/>
        <w:ind w:left="400" w:hanging="360"/>
      </w:pPr>
      <w:r>
        <w:t xml:space="preserve">사용자 계정 삭제 </w:t>
      </w:r>
      <w:r>
        <w:rPr>
          <w:rStyle w:val="af4"/>
        </w:rPr>
        <w:t>DELETE /api/model/users</w:t>
      </w:r>
    </w:p>
    <w:p>
      <w:r>
        <w:rPr>
          <w:b w:val="on"/>
        </w:rPr>
        <w:t>생성 가능한 인덱스 토크나이저 목록 간소화</w:t>
      </w:r>
    </w:p>
    <w:p>
      <w:r>
        <w:t xml:space="preserve">테이블 인덱스 생성 화면에서 인덱스 토크나이저 유형이 </w:t>
      </w:r>
      <w:r>
        <w:rPr>
          <w:b w:val="on"/>
        </w:rPr>
        <w:t>쿼리 기반 필드 추출</w:t>
      </w:r>
      <w:r>
        <w:t xml:space="preserve">, </w:t>
      </w:r>
      <w:r>
        <w:rPr>
          <w:b w:val="on"/>
        </w:rPr>
        <w:t>구분자 및 IP</w:t>
      </w:r>
      <w:r>
        <w:t xml:space="preserve"> 2개 이외는 목록에서 보이지 않게 간소화했습니다. 이전 버전에서 패치하여 업그레이드하는 경우, 하위호환성을 유지할 수 있도록 기존 토크나이저는 설정한대로 동작합니다.</w:t>
      </w:r>
    </w:p>
    <w:p>
      <w:pPr>
        <w:ind w:left="400"/>
      </w:pPr>
      <w:r>
        <w:drawing>
          <wp:inline distT="0" distR="0" distB="0" distL="0">
            <wp:extent cx="5715000" cy="4610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enterprise/api/chapter-rest-api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