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2단계 파이 위젯</w:t>
      </w:r>
    </w:p>
    <w:p>
      <w:r>
        <w:t>2단계 파이 위젯은 계층 관계를 갖는 범주(상위 그룹, 하위 그룹)별로 값의 크기(종속 변수)를 표현합니다.</w:t>
      </w:r>
    </w:p>
    <w:p>
      <w:r>
        <w:t>2단계 파이 차트의 속성은 다음과 같습니다.</w:t>
      </w:r>
    </w:p>
    <w:p>
      <w:pPr>
        <w:pStyle w:val="a7"/>
      </w:pPr>
      <w:r>
        <w:t>종속 변수</w:t>
      </w:r>
    </w:p>
    <w:p>
      <w:r>
        <w:t>독립 변수의 값에 따라 값을 집계할 필드를 선택합니다. 상위 그룹 필드는 하위 그룹 필드를 모두 포괄하는 필드이어야 합니다.</w:t>
      </w:r>
    </w:p>
    <w:p>
      <w:r>
        <w:rPr>
          <w:b w:val="on"/>
        </w:rPr>
        <w:t>상위 그룹</w:t>
      </w:r>
    </w:p>
    <w:p>
      <w:pPr>
        <w:ind w:left="400"/>
      </w:pPr>
      <w:r>
        <w:t>대분류에 해당하는 필드를 선택합니다.</w:t>
      </w:r>
    </w:p>
    <w:p>
      <w:r>
        <w:rPr>
          <w:b w:val="on"/>
        </w:rPr>
        <w:t>하위 그룹</w:t>
      </w:r>
    </w:p>
    <w:p>
      <w:pPr>
        <w:ind w:left="400"/>
      </w:pPr>
      <w:r>
        <w:t>소분류에 해당하는 필드를 선택합니다.</w:t>
      </w:r>
    </w:p>
    <w:p>
      <w:pPr>
        <w:pStyle w:val="a7"/>
      </w:pPr>
      <w:r>
        <w:t>기타</w:t>
      </w:r>
    </w:p>
    <w:p>
      <w:r>
        <w:t>2단계 파이 차트를 표시하는 방식을 설정합니다.</w:t>
      </w:r>
    </w:p>
    <w:p>
      <w:r>
        <w:rPr>
          <w:b w:val="on"/>
        </w:rPr>
        <w:t>크기</w:t>
      </w:r>
    </w:p>
    <w:p>
      <w:pPr>
        <w:ind w:left="400"/>
      </w:pPr>
      <w:r>
        <w:t>종속 변수를 기준으로 집계할 필드를 선택합니다.</w:t>
      </w:r>
    </w:p>
    <w:p>
      <w:r>
        <w:rPr>
          <w:b w:val="on"/>
        </w:rPr>
        <w:t>상위 그룹 표시</w:t>
      </w:r>
    </w:p>
    <w:p>
      <w:r>
        <w:t>상위 그룹의 표시 형식을 선택합니다(기본값: 안쪽).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안쪽</w:t>
      </w:r>
      <w:r>
        <w:t>: 상위 그룹을 파이 차트의 내부에 중첩된 파이 차트 형식으로 표시합니다.</w:t>
      </w:r>
    </w:p>
    <w:p>
      <w:pPr>
        <w:numPr>
          <w:numId w:val="6"/>
        </w:numPr>
        <w:spacing w:before="0" w:after="0"/>
        <w:ind w:left="400" w:hanging="360"/>
      </w:pPr>
      <w:r>
        <w:rPr>
          <w:b w:val="on"/>
        </w:rPr>
        <w:t>범례</w:t>
      </w:r>
      <w:r>
        <w:t>: 상위 그룹을 차트 아래에 범례로서 표시합니다.</w:t>
      </w:r>
    </w:p>
    <w:p>
      <w:pPr>
        <w:pStyle w:val="a7"/>
      </w:pPr>
      <w:r>
        <w:t>이벤트</w:t>
      </w:r>
    </w:p>
    <w:p>
      <w:hyperlink r:id="rId10">
        <w:r>
          <w:rPr>
            <w:rStyle w:val="a6"/>
          </w:rPr>
          <w:t>이벤트</w:t>
        </w:r>
      </w:hyperlink>
      <w:r>
        <w:t>가 발생했을 때 위젯이 수행할 동작을 설정합니다.</w:t>
      </w:r>
    </w:p>
    <w:p>
      <w:r>
        <w:rPr>
          <w:b w:val="on"/>
        </w:rPr>
        <w:t>클릭</w:t>
      </w:r>
    </w:p>
    <w:p>
      <w:r>
        <w:t>사용자가 차트에서 특정한 그룹을 클릭했을 때 수행할 동작으로, 다음 중 하나를 선택하십시오(기본값: 사용 안 함).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[쿼리 실행](event-actions#outline5)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[필터링](event-actions#outline8)</w:t>
      </w:r>
    </w:p>
    <w:p>
      <w:pPr>
        <w:numPr>
          <w:numId w:val="7"/>
        </w:numPr>
        <w:spacing w:before="0" w:after="0"/>
        <w:ind w:left="400" w:hanging="360"/>
      </w:pPr>
      <w:r>
        <w:rPr>
          <w:b w:val="on"/>
        </w:rPr>
        <w:t>[브라우저 실행](event-actions#outline3)</w:t>
      </w:r>
    </w:p>
    <w:p>
      <w:pPr>
        <w:pStyle w:val="a7"/>
      </w:pPr>
      <w:r>
        <w:t>예제</w:t>
      </w:r>
    </w:p>
    <w:p>
      <w:r>
        <w:t>다음과 같은 값을 입력하여 위젯을 추가해보십시오.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위젯 이름</w:t>
      </w:r>
      <w:r>
        <w:t>: 확인 필요한 HTTP 요청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타입 선택</w:t>
      </w:r>
      <w:r>
        <w:t>: 차트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데이터소스 선택</w:t>
      </w:r>
      <w:r>
        <w:t xml:space="preserve">: </w:t>
      </w:r>
      <w:hyperlink r:id="rId11">
        <w:r>
          <w:rPr>
            <w:rStyle w:val="a6"/>
          </w:rPr>
          <w:t>widget_example</w:t>
        </w:r>
      </w:hyperlink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쿼리문</w:t>
      </w:r>
    </w:p>
    <w:p>
      <w:pPr>
        <w:pStyle w:val="ae"/>
        <w:numPr>
          <w:numId w:val="8"/>
        </w:numPr>
        <w:spacing w:before="0" w:after="0"/>
        <w:ind w:left="360" w:hanging="360"/>
      </w:pPr>
      <w:r>
        <w:t>search suspicious != "normal" and isnotnull(country)</w:t>
        <w:cr/>
      </w:r>
      <w:r>
        <w:t xml:space="preserve">    | stats count by suspicious, country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새로고침 주기</w:t>
      </w:r>
      <w:r>
        <w:t>: 60초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차트 타입</w:t>
      </w:r>
      <w:r>
        <w:t>: 2단계 파이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종속 변수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상위 그룹</w:t>
      </w:r>
      <w:r>
        <w:t xml:space="preserve">: </w:t>
      </w:r>
      <w:r>
        <w:rPr>
          <w:rStyle w:val="af4"/>
        </w:rPr>
        <w:t>country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하위 그룹</w:t>
      </w:r>
      <w:r>
        <w:t xml:space="preserve">: </w:t>
      </w:r>
      <w:r>
        <w:rPr>
          <w:rStyle w:val="af4"/>
        </w:rPr>
        <w:t>suspicious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크기</w:t>
      </w:r>
      <w:r>
        <w:t xml:space="preserve">: </w:t>
      </w:r>
      <w:r>
        <w:rPr>
          <w:rStyle w:val="af4"/>
        </w:rPr>
        <w:t>count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상위 그룹 표시</w:t>
      </w:r>
      <w:r>
        <w:t>: 범례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클릭</w:t>
      </w:r>
      <w:r>
        <w:t>: 사용 안함</w:t>
      </w:r>
    </w:p>
    <w:p>
      <w:r>
        <w:t>다음과 같이 결과가 나오는지 확인해보십시오.</w:t>
      </w:r>
    </w:p>
    <w:p>
      <w:r>
        <w:drawing>
          <wp:inline distT="0" distR="0" distB="0" distL="0">
            <wp:extent cx="5715000" cy="3873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events" TargetMode="External" Type="http://schemas.openxmlformats.org/officeDocument/2006/relationships/hyperlink"/><Relationship Id="rId11" Target="https://docs.logpresso.com/ko/enterprise/4.0/ui/dashboard-data-for-widget-drill" TargetMode="External" Type="http://schemas.openxmlformats.org/officeDocument/2006/relationships/hyperlink"/><Relationship Id="rId12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