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범용 파서</w:t>
      </w:r>
    </w:p>
    <w:p>
      <w:r>
        <w:t>범용 파서는 텍스트 기반 데이터 파일을 다루는 파서들입니다. 여기서는 범용 파서들의 속성을 설명합니다.</w:t>
      </w:r>
    </w:p>
    <w:p>
      <w:pPr>
        <w:pStyle w:val="a7"/>
      </w:pPr>
      <w:r>
        <w:t>CEF 파서</w:t>
      </w:r>
    </w:p>
    <w:p>
      <w:r>
        <w:t>CEF 파서는 CEF(Common Event Format) 형식의 로그를 파싱합니다. ArcSight와 같은 ESM이나 SIEM 시스템과 연동에 사용되는 규격으로, 별도로 설정할 항목이 없습니다.</w:t>
      </w:r>
    </w:p>
    <w:p>
      <w:pPr>
        <w:pStyle w:val="a7"/>
      </w:pPr>
      <w:r>
        <w:t>CSV 파서</w:t>
      </w:r>
    </w:p>
    <w:p>
      <w:r>
        <w:t>CSV 파서는 CSV(Comma-Separated Values) 또는 TSV(Tab-Separated Values) 형식으로 구분된 각 토큰에 대하여 설정된 필드 이름들을 순서대로 적용하여 파싱합니다.</w:t>
      </w:r>
    </w:p>
    <w:p>
      <w:r>
        <w:drawing>
          <wp:inline distT="0" distR="0" distB="0" distL="0">
            <wp:extent cx="5715000" cy="4813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탭문자 사용 여부</w:t>
      </w:r>
      <w:r>
        <w:t xml:space="preserve">: 구분자로 탭 문자의 사용를 사용할 지 결정합니다. </w:t>
      </w:r>
      <w:r>
        <w:rPr>
          <w:rStyle w:val="af4"/>
        </w:rPr>
        <w:t>true</w:t>
      </w:r>
      <w:r>
        <w:t xml:space="preserve"> 혹은 </w:t>
      </w:r>
      <w:r>
        <w:rPr>
          <w:rStyle w:val="af4"/>
        </w:rPr>
        <w:t>false</w:t>
      </w:r>
      <w:r>
        <w:t>를 입력합니다.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큰 따옴표 사용 여부</w:t>
      </w:r>
      <w:r>
        <w:t xml:space="preserve">: 특수문자를 구분하기 위한 이스케이프 문자를 큰 따옴표로 사용합니다. </w:t>
      </w:r>
      <w:r>
        <w:rPr>
          <w:rStyle w:val="af4"/>
        </w:rPr>
        <w:t>true</w:t>
      </w:r>
      <w:r>
        <w:t xml:space="preserve"> 혹은 </w:t>
      </w:r>
      <w:r>
        <w:rPr>
          <w:rStyle w:val="af4"/>
        </w:rPr>
        <w:t>false</w:t>
      </w:r>
      <w:r>
        <w:t>를 입력합니다.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필드 이름 목록</w:t>
      </w:r>
      <w:r>
        <w:t>: 파싱된 결과 필드의 이름들 쉼표(</w:t>
      </w:r>
      <w:r>
        <w:rPr>
          <w:rStyle w:val="af4"/>
        </w:rPr>
        <w:t>,</w:t>
      </w:r>
      <w:r>
        <w:t>)로 구분해서 입력합니다.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대상 필드</w:t>
      </w:r>
      <w:r>
        <w:t>: 파싱할 대상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원본 값 포함 여부</w:t>
      </w:r>
      <w:r>
        <w:t xml:space="preserve">: CSV로 파싱된 결과 외에 원본 필드 값도 포함할 지 여부를 설정합니다. </w:t>
      </w:r>
      <w:r>
        <w:rPr>
          <w:rStyle w:val="af4"/>
        </w:rPr>
        <w:t>true</w:t>
      </w:r>
      <w:r>
        <w:t xml:space="preserve"> 혹은 </w:t>
      </w:r>
      <w:r>
        <w:rPr>
          <w:rStyle w:val="af4"/>
        </w:rPr>
        <w:t>false</w:t>
      </w:r>
      <w:r>
        <w:t>를 입력합니다.</w:t>
      </w:r>
    </w:p>
    <w:p>
      <w:pPr>
        <w:pStyle w:val="a7"/>
      </w:pPr>
      <w:r>
        <w:t>JSON 파서</w:t>
      </w:r>
    </w:p>
    <w:p>
      <w:r>
        <w:t>JSON 파서는 JSON 형식의 문자열을 파싱합니다.</w:t>
      </w:r>
    </w:p>
    <w:p>
      <w:r>
        <w:drawing>
          <wp:inline distT="0" distR="0" distB="0" distL="0">
            <wp:extent cx="5715000" cy="3937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대상 필드</w:t>
      </w:r>
      <w:r>
        <w:t>: 파싱할 대상 필드 이름을 입력합니다.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원본 값 포함 여부</w:t>
      </w:r>
      <w:r>
        <w:t xml:space="preserve">: JSON으로 파싱된 결과 외에 원본 필드 값도 포함할 지 여부를 설정합니다. </w:t>
      </w:r>
      <w:r>
        <w:rPr>
          <w:rStyle w:val="af4"/>
        </w:rPr>
        <w:t>true</w:t>
      </w:r>
      <w:r>
        <w:t xml:space="preserve"> 혹은 </w:t>
      </w:r>
      <w:r>
        <w:rPr>
          <w:rStyle w:val="af4"/>
        </w:rPr>
        <w:t>false</w:t>
      </w:r>
      <w:r>
        <w:t>를 입력합니다.</w:t>
      </w:r>
    </w:p>
    <w:p>
      <w:pPr>
        <w:pStyle w:val="a7"/>
      </w:pPr>
      <w:r>
        <w:t>WELF 파서</w:t>
      </w:r>
    </w:p>
    <w:p>
      <w:r>
        <w:t>WELF 파서는 WELF(WebTrends Enhanced Log Format) 형식의 데이터를 파싱합니다. WELF 파서는 별도로 설정할 항목이 없습니다.</w:t>
      </w:r>
    </w:p>
    <w:p>
      <w:pPr>
        <w:pStyle w:val="a7"/>
      </w:pPr>
      <w:r>
        <w:t>고정 길이 필드 파서</w:t>
      </w:r>
    </w:p>
    <w:p>
      <w:r>
        <w:t>고정 길이 필드 파서는 입력되는 문자열을 고정된 길이 단위로 잘라서 필드에 순서대로 할당하여 파싱합니다.</w:t>
      </w:r>
    </w:p>
    <w:p>
      <w:r>
        <w:drawing>
          <wp:inline distT="0" distR="0" distB="0" distL="0">
            <wp:extent cx="5715000" cy="4419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필드 이름 목록</w:t>
      </w:r>
      <w:r>
        <w:t>: 필드 이름 목록을 쉼표(</w:t>
      </w:r>
      <w:r>
        <w:rPr>
          <w:rStyle w:val="af4"/>
        </w:rPr>
        <w:t>,</w:t>
      </w:r>
      <w:r>
        <w:t>)로 구분해서 입력합니다.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필드 길이 목록</w:t>
      </w:r>
      <w:r>
        <w:t>: 필드별 길이를 쉼표(</w:t>
      </w:r>
      <w:r>
        <w:rPr>
          <w:rStyle w:val="af4"/>
        </w:rPr>
        <w:t>,</w:t>
      </w:r>
      <w:r>
        <w:t>)로 구분해서 파싱할 순서대로 입력합니다.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대상 필드</w:t>
      </w:r>
      <w:r>
        <w:t>: 파싱할 대상 필드 이름을 입력합니다.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원본 값 포함 여부</w:t>
      </w:r>
      <w:r>
        <w:t xml:space="preserve">: 파싱된 결과 외에 원본 필드 값도 출력에 포함할 지 여부를 설정합니다. </w:t>
      </w:r>
      <w:r>
        <w:rPr>
          <w:rStyle w:val="af4"/>
        </w:rPr>
        <w:t>true</w:t>
      </w:r>
      <w:r>
        <w:t xml:space="preserve"> 혹은 </w:t>
      </w:r>
      <w:r>
        <w:rPr>
          <w:rStyle w:val="af4"/>
        </w:rPr>
        <w:t>false</w:t>
      </w:r>
      <w:r>
        <w:t>를 입력합니다.</w:t>
      </w:r>
    </w:p>
    <w:p>
      <w:pPr>
        <w:pStyle w:val="a7"/>
      </w:pPr>
      <w:r>
        <w:t>구분자 파서</w:t>
      </w:r>
    </w:p>
    <w:p>
      <w:r>
        <w:t>구분자 파서는 구분자로 식별되는 각 토큰을 필드에 순서대로 할당하여 파싱합니다.</w:t>
      </w:r>
    </w:p>
    <w:p>
      <w:r>
        <w:drawing>
          <wp:inline distT="0" distR="0" distB="0" distL="0">
            <wp:extent cx="5715000" cy="4559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구분자</w:t>
      </w:r>
      <w:r>
        <w:t xml:space="preserve">: 하나의 16진수 ASCII 코드(예: </w:t>
      </w:r>
      <w:r>
        <w:rPr>
          <w:rStyle w:val="af4"/>
        </w:rPr>
        <w:t>0x0d</w:t>
      </w:r>
      <w:r>
        <w:t xml:space="preserve">) 또는 4자리 유니코드 이스케이프 시퀀스(예: </w:t>
      </w:r>
      <w:r>
        <w:rPr>
          <w:rStyle w:val="af4"/>
        </w:rPr>
        <w:t>\u0007</w:t>
      </w:r>
      <w:r>
        <w:t xml:space="preserve">)를 입력합니다. 유니코드 이스케이프 시퀀스는 </w:t>
      </w:r>
      <w:hyperlink r:id="rId14">
        <w:r>
          <w:rPr>
            <w:rStyle w:val="a6"/>
          </w:rPr>
          <w:t>UnicodePlus</w:t>
        </w:r>
      </w:hyperlink>
      <w:r>
        <w:t>에서 검색할 수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필드 이름 목록</w:t>
      </w:r>
      <w:r>
        <w:t>: 필드 이름 목록을 쉼표(</w:t>
      </w:r>
      <w:r>
        <w:rPr>
          <w:rStyle w:val="af4"/>
        </w:rPr>
        <w:t>,</w:t>
      </w:r>
      <w:r>
        <w:t>)로 구분해서 파싱할 순서대로 입력합니다.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대상 필드</w:t>
      </w:r>
      <w:r>
        <w:t>: 구분자로 파싱할 대상 필드 이름을 입력합니다.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원본 값 포함 여부</w:t>
      </w:r>
      <w:r>
        <w:t xml:space="preserve">: 파싱된 결과 외에 원본 필드 값도 출력에 포함할 지 여부를 설정합니다. </w:t>
      </w:r>
      <w:r>
        <w:rPr>
          <w:rStyle w:val="af4"/>
        </w:rPr>
        <w:t>true</w:t>
      </w:r>
      <w:r>
        <w:t xml:space="preserve"> 혹은 </w:t>
      </w:r>
      <w:r>
        <w:rPr>
          <w:rStyle w:val="af4"/>
        </w:rPr>
        <w:t>false</w:t>
      </w:r>
      <w:r>
        <w:t>를 입력합니다.</w:t>
      </w:r>
    </w:p>
    <w:p>
      <w:pPr>
        <w:pStyle w:val="a7"/>
      </w:pPr>
      <w:r>
        <w:t>정규표현식 파서</w:t>
      </w:r>
    </w:p>
    <w:p>
      <w:r>
        <w:t>정규표현식을 이용하여 로그를 파싱합니다.</w:t>
      </w:r>
    </w:p>
    <w:p>
      <w:r>
        <w:drawing>
          <wp:inline distT="0" distR="0" distB="0" distL="0">
            <wp:extent cx="5715000" cy="4178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정규표현식</w:t>
      </w:r>
      <w:r>
        <w:t xml:space="preserve">: 필드값 추출에 적용할 정규표현식을 입력합니다. 정규표현식과 일치하는 문자열을 필드에 할당할 수 있도록 필드 이름을 정규표현식 안에 그룹 이름 형식으로 포함해야 합니다(예: </w:t>
      </w:r>
      <w:r>
        <w:rPr>
          <w:rStyle w:val="af4"/>
        </w:rPr>
        <w:t>(?&lt;date&gt;\d{4}-\d{2}-\d{2})</w:t>
      </w:r>
      <w:r>
        <w:t>).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대상 필드</w:t>
      </w:r>
      <w:r>
        <w:t>: 정규표현식과 대조할 필드명을 입력합니다.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원본 필드 포함</w:t>
      </w:r>
      <w:r>
        <w:t>: 원본필드를 표현할지 true, false로 입력합니다.</w:t>
      </w:r>
    </w:p>
    <w:p>
      <w:pPr>
        <w:pStyle w:val="a7"/>
      </w:pPr>
      <w:r>
        <w:t>쿼리 기반 파서</w:t>
      </w:r>
    </w:p>
    <w:p>
      <w:r>
        <w:t>쿼리 기반 파서는 입력 데이터에 쿼리문을 수행함으로써 필드에 값을 할당합니다. 쿼리 문법을 그대로 사용할 수 있으므로 다른 파서에 비해 상대적으로 복잡하고 정교한 파싱을 수행할 수 있습니다.</w:t>
      </w:r>
    </w:p>
    <w:p>
      <w:r>
        <w:drawing>
          <wp:inline distT="0" distR="0" distB="0" distL="0">
            <wp:extent cx="5715000" cy="35560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쿼리</w:t>
      </w:r>
      <w:r>
        <w:t xml:space="preserve">: 로그 파싱에 사용할 쿼리문을 입력합니다. 쿼리 문자열, 입력 로그와 쿼리 결과가 일대일로 매핑되는 쿼리 커맨드를 파이프로 연결한 쿼리를 설정할 수 있습니다. 예를 들어 </w:t>
      </w:r>
      <w:hyperlink r:id="rId17">
        <w:r>
          <w:rPr>
            <w:rStyle w:val="a6"/>
          </w:rPr>
          <w:t>아파치 웹 서버 앱</w:t>
        </w:r>
      </w:hyperlink>
      <w:r>
        <w:t>의 user_agent_type 파서는 쿼리 기반 파서입니다. 이 파서는 다음과 같은 쿼리를 사용합니다.</w:t>
      </w:r>
    </w:p>
    <w:p>
      <w:pPr>
        <w:pStyle w:val="ae"/>
        <w:numPr>
          <w:numId w:val="11"/>
        </w:numPr>
        <w:spacing w:before="0" w:after="0"/>
        <w:ind w:left="360" w:hanging="360"/>
      </w:pPr>
      <w:r>
        <w:t>eval agent_type =</w:t>
        <w:cr/>
      </w:r>
      <w:r>
        <w:t xml:space="preserve">        case(</w:t>
        <w:cr/>
      </w:r>
      <w:r>
        <w:t xml:space="preserve">            user_agent == "*Googlebot*", "google",</w:t>
        <w:cr/>
      </w:r>
      <w:r>
        <w:t xml:space="preserve">            user_agent == "*GoogleDocs*", "google docs",</w:t>
        <w:cr/>
      </w:r>
      <w:r>
        <w:t xml:space="preserve">            user_agent == "*bingbot*" or user_agent == "*BingPreview*", "bing",</w:t>
        <w:cr/>
      </w:r>
      <w:r>
        <w:t xml:space="preserve">            user_agent == "*facebookexternalhit*", "facebook",</w:t>
        <w:cr/>
      </w:r>
      <w:r>
        <w:t xml:space="preserve">            user_agent == "*Yandex*", "yandex",</w:t>
        <w:cr/>
      </w:r>
      <w:r>
        <w:t xml:space="preserve">            user_agent == "*api.slack.com*", "slack",</w:t>
        <w:cr/>
      </w:r>
      <w:r>
        <w:t xml:space="preserve">            user_agent == "*CensysInspect*", "censys",</w:t>
        <w:cr/>
      </w:r>
      <w:r>
        <w:t xml:space="preserve">            user_agent == "*Chrome*", "chrome",</w:t>
        <w:cr/>
      </w:r>
      <w:r>
        <w:t xml:space="preserve">            user_agent == "*Safari*", "safari",</w:t>
        <w:cr/>
      </w:r>
      <w:r>
        <w:t xml:space="preserve">            user_agent == "*Firefox*", "firefox",</w:t>
        <w:cr/>
      </w:r>
      <w:r>
        <w:t xml:space="preserve">            user_agent == "*Python*" or user_agent == "*python*", "python",</w:t>
        <w:cr/>
      </w:r>
      <w:r>
        <w:t xml:space="preserve">            user_agent == "*Go-http-client*", "golang",</w:t>
        <w:cr/>
      </w:r>
      <w:r>
        <w:t xml:space="preserve">            user_agent == "*MJ12bot*", "mj12",</w:t>
        <w:cr/>
      </w:r>
      <w:r>
        <w:t xml:space="preserve">            user_agent == "*Expanse, a Palo Alto Networks*", "xpanse",</w:t>
        <w:cr/>
      </w:r>
      <w:r>
        <w:t xml:space="preserve">            user_agent == "*SemrushBot*", "semrush",</w:t>
        <w:cr/>
      </w:r>
      <w:r>
        <w:t xml:space="preserve">            user_agent == "*PetalBot*", "petal",</w:t>
        <w:cr/>
      </w:r>
      <w:r>
        <w:t xml:space="preserve">            user_agent == "*AhrefsBot*", "ahrefs", "misc"</w:t>
        <w:cr/>
      </w:r>
      <w:r>
        <w:t xml:space="preserve">        )</w:t>
      </w:r>
    </w:p>
    <w:p>
      <w:pPr>
        <w:pStyle w:val="a7"/>
      </w:pPr>
      <w:r>
        <w:t>태그 파서</w:t>
      </w:r>
    </w:p>
    <w:p>
      <w:r>
        <w:t>태그 파서는 메타데이터에 키-값 쌍을 추가하여 파싱합니다.</w:t>
      </w:r>
    </w:p>
    <w:p>
      <w:r>
        <w:drawing>
          <wp:inline distT="0" distR="0" distB="0" distL="0">
            <wp:extent cx="5715000" cy="35560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태그 목록</w:t>
      </w:r>
      <w:r>
        <w:t>: 쉼표(</w:t>
      </w:r>
      <w:r>
        <w:rPr>
          <w:rStyle w:val="af4"/>
        </w:rPr>
        <w:t>,</w:t>
      </w:r>
      <w:r>
        <w:t>)로 구분된 키=값 쌍(메타데이터 태그)을 쉼표로 구분하여 입력합니다.</w:t>
      </w:r>
    </w:p>
    <w:p>
      <w:pPr>
        <w:pStyle w:val="a7"/>
      </w:pPr>
      <w:r>
        <w:t>파서 선택기</w:t>
      </w:r>
    </w:p>
    <w:p>
      <w:r>
        <w:t>파서 선택기는 표현식 조건과 일치하는 첫번째 파서를 선택하여 파싱을 수행합니다.</w:t>
      </w:r>
    </w:p>
    <w:p>
      <w:r>
        <w:drawing>
          <wp:inline distT="0" distR="0" distB="0" distL="0">
            <wp:extent cx="5715000" cy="37719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파서 선택 조건식</w:t>
      </w:r>
      <w:r>
        <w:t>: 조건식을 더 추가하려면 "</w:t>
      </w:r>
      <w:r>
        <w:rPr>
          <w:b w:val="on"/>
        </w:rPr>
        <w:t>+</w:t>
      </w:r>
      <w:r>
        <w:t>"를 누르십시오. "</w:t>
      </w:r>
      <w:r>
        <w:rPr>
          <w:b w:val="on"/>
        </w:rPr>
        <w:t>⨉</w:t>
      </w:r>
      <w:r>
        <w:t>"를 누르면 해당 조건식을 삭제합니다.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조건</w:t>
      </w:r>
      <w:r>
        <w:t>: 파서를 선택할 조건 쿼리를 입력합니다. 여러 조건을 만족할 경우 가장 첫 번째 조건에 해당하는 파서를 선택합니다.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반환값</w:t>
      </w:r>
      <w:r>
        <w:t>: 조건을 만족할 경우 사용할 파서의 이름을 입력합니다.</w:t>
      </w:r>
    </w:p>
    <w:p>
      <w:pPr>
        <w:pStyle w:val="a7"/>
      </w:pPr>
      <w:r>
        <w:t>파서 체인</w:t>
      </w:r>
    </w:p>
    <w:p>
      <w:r>
        <w:t>파서 체인은 여러 개 파서를 순서대로 지정하여 순차적으로 적용해 파싱합니다.</w:t>
      </w:r>
    </w:p>
    <w:p>
      <w:r>
        <w:drawing>
          <wp:inline distT="0" distR="0" distB="0" distL="0">
            <wp:extent cx="5715000" cy="35560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파서 이름 목록</w:t>
      </w:r>
      <w:r>
        <w:t>: 파서의 이름을 적용할 순서대로 쉼표(</w:t>
      </w:r>
      <w:r>
        <w:rPr>
          <w:rStyle w:val="af4"/>
        </w:rPr>
        <w:t>,</w:t>
      </w:r>
      <w:r>
        <w:t>)로 구분해서 입력합니다.</w:t>
      </w:r>
    </w:p>
    <w:p>
      <w:pPr>
        <w:pStyle w:val="a7"/>
      </w:pPr>
      <w:r>
        <w:t>필드 이름 변경 파서</w:t>
      </w:r>
    </w:p>
    <w:p>
      <w:r>
        <w:t>필드 이름 변경 파서는 필드의 이름을 변경합니다.</w:t>
      </w:r>
    </w:p>
    <w:p>
      <w:r>
        <w:drawing>
          <wp:inline distT="0" distR="0" distB="0" distL="0">
            <wp:extent cx="5715000" cy="35560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필드 이름 변환 목록</w:t>
      </w:r>
      <w:r>
        <w:t xml:space="preserve">: </w:t>
      </w:r>
      <w:r>
        <w:rPr>
          <w:b w:val="on"/>
        </w:rPr>
        <w:t>원본필드=변경필드</w:t>
      </w:r>
      <w:r>
        <w:t xml:space="preserve"> 형식으로 쉼표(</w:t>
      </w:r>
      <w:r>
        <w:rPr>
          <w:rStyle w:val="af4"/>
        </w:rPr>
        <w:t>,</w:t>
      </w:r>
      <w:r>
        <w:t>)로 구분해서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https://unicodeplus.com" TargetMode="External" Type="http://schemas.openxmlformats.org/officeDocument/2006/relationships/hyperlink"/><Relationship Id="rId15" Target="media/image5.png" Type="http://schemas.openxmlformats.org/officeDocument/2006/relationships/image"/><Relationship Id="rId16" Target="media/image6.png" Type="http://schemas.openxmlformats.org/officeDocument/2006/relationships/image"/><Relationship Id="rId17" Target="https://logpresso.store/ko/apps/apache-httpd" TargetMode="External" Type="http://schemas.openxmlformats.org/officeDocument/2006/relationships/hyperlink"/><Relationship Id="rId18" Target="media/image7.png" Type="http://schemas.openxmlformats.org/officeDocument/2006/relationships/image"/><Relationship Id="rId19" Target="media/image8.png" Type="http://schemas.openxmlformats.org/officeDocument/2006/relationships/image"/><Relationship Id="rId2" Target="numbering.xml" Type="http://schemas.openxmlformats.org/officeDocument/2006/relationships/numbering"/><Relationship Id="rId20" Target="media/image9.png" Type="http://schemas.openxmlformats.org/officeDocument/2006/relationships/image"/><Relationship Id="rId21" Target="media/image10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