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기본 사용법</w:t>
      </w:r>
    </w:p>
    <w:p>
      <w:pPr>
        <w:pStyle w:val="4"/>
      </w:pPr>
      <w:r>
        <w:t>대시보드 조회하기</w:t>
      </w:r>
    </w:p>
    <w:p>
      <w:pPr>
        <w:pStyle w:val="a7"/>
      </w:pPr>
      <w:r>
        <w:t>대시보드 조회</w:t>
      </w:r>
    </w:p>
    <w:p>
      <w:r>
        <w:t xml:space="preserve">사용자는 한 번에 하나의 </w:t>
      </w:r>
      <w:hyperlink r:id="rId10">
        <w:r>
          <w:rPr>
            <w:rStyle w:val="a6"/>
          </w:rPr>
          <w:t>프리셋</w:t>
        </w:r>
      </w:hyperlink>
      <w:r>
        <w:t xml:space="preserve">만 이용할 수 있습니다. 다른 대시보드 프리셋을 보려면 </w:t>
      </w:r>
      <w:r>
        <w:rPr>
          <w:b w:val="on"/>
        </w:rPr>
        <w:t>불러오기</w:t>
      </w:r>
      <w:r>
        <w:t>를 통해 프리셋 목록에서 조회할 프리셋을 선택하십시오.</w:t>
      </w:r>
    </w:p>
    <w:p>
      <w:hyperlink r:id="rId11">
        <w:r>
          <w:rPr>
            <w:rStyle w:val="a6"/>
          </w:rPr>
          <w:t>대시보드 도구 모음</w:t>
        </w:r>
      </w:hyperlink>
      <w:r>
        <w:t xml:space="preserve">에서 </w:t>
      </w:r>
      <w:r>
        <w:rPr>
          <w:b w:val="on"/>
        </w:rPr>
        <w:t>불러오기</w:t>
      </w:r>
      <w:r>
        <w:t>를 누릅니다.</w:t>
      </w:r>
    </w:p>
    <w:p>
      <w:r>
        <w:t>프리셋 목록에서 조회할 프리셋을 선택합니다.</w:t>
      </w:r>
    </w:p>
    <w:p>
      <w:pPr>
        <w:numPr>
          <w:numId w:val="7"/>
        </w:numPr>
        <w:spacing w:before="0" w:after="0"/>
        <w:ind w:left="360" w:hanging="360"/>
      </w:pPr>
      <w:r>
        <w:t>목록은 사용자에게 조회/관리 권한이 있는 프리셋만 보여줍니다.</w:t>
      </w:r>
    </w:p>
    <w:p>
      <w:pPr>
        <w:numPr>
          <w:numId w:val="7"/>
        </w:numPr>
        <w:spacing w:before="0" w:after="0"/>
        <w:ind w:left="360" w:hanging="360"/>
      </w:pPr>
      <w:r>
        <w:t>프리셋 소유자의 계정 아이디가 프리셋 이름 옆에 표시됩니다.</w:t>
      </w:r>
    </w:p>
    <w:p>
      <w:pPr>
        <w:pStyle w:val="a7"/>
      </w:pPr>
      <w:r>
        <w:t>앱 공간에 따른 특징</w:t>
      </w:r>
    </w:p>
    <w:p>
      <w:r>
        <w:t>전역 공간에서는 사용자에게 권한이 있는 모든 앱의 프리셋 목록을 볼 수 있습니다.</w:t>
      </w:r>
    </w:p>
    <w:p>
      <w:r>
        <w:drawing>
          <wp:inline distT="0" distR="0" distB="0" distL="0">
            <wp:extent cx="5715000" cy="1612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앱 공간에서는 앱이 제공하는 프리셋 중에서 사용자에게 권한이 있는 프리셋만 볼 수 있습니다. 다음 그림은 성능 모니터 앱 공간에 로그프레소 모니터링과 센트리 모니터링 2개의 프리셋이 추가되어 있는 상태에서 목록을 조회한 예입니다.</w:t>
      </w:r>
    </w:p>
    <w:p>
      <w:r>
        <w:drawing>
          <wp:inline distT="0" distR="0" distB="0" distL="0">
            <wp:extent cx="5715000" cy="9398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스타일 변경</w:t>
      </w:r>
    </w:p>
    <w:p>
      <w:hyperlink r:id="rId14">
        <w:r>
          <w:rPr>
            <w:rStyle w:val="a6"/>
          </w:rPr>
          <w:t>대시보드 도구 모음</w:t>
        </w:r>
      </w:hyperlink>
      <w:r>
        <w:t>의 오른쪽 위에 2개의 토글 버튼이 있습니다.</w:t>
      </w:r>
    </w:p>
    <w:p>
      <w:pPr>
        <w:numPr>
          <w:numId w:val="8"/>
        </w:numPr>
        <w:spacing w:before="0" w:after="0"/>
        <w:ind w:left="360" w:hanging="360"/>
      </w:pPr>
      <w:r>
        <w:t>다크 모드: 대시보드의 전체 색을 어둡게/밝게 전환합니다.</w:t>
      </w:r>
    </w:p>
    <w:p>
      <w:pPr>
        <w:numPr>
          <w:numId w:val="8"/>
        </w:numPr>
        <w:spacing w:before="0" w:after="0"/>
        <w:ind w:left="360" w:hanging="360"/>
      </w:pPr>
      <w:r>
        <w:t>전체 화면: 전체 화면 모드로 전환하거나 일반 창 모드로 전환합니다.</w:t>
      </w:r>
    </w:p>
    <w:p>
      <w:pPr>
        <w:pStyle w:val="a7"/>
      </w:pPr>
      <w:r>
        <w:t>전체 화면 보기</w:t>
      </w:r>
    </w:p>
    <w:p>
      <w:r>
        <w:t>전체 화면 버튼(</w:t>
      </w:r>
      <w:r>
        <w:drawing>
          <wp:inline distT="0" distR="0" distB="0" distL="0">
            <wp:extent cx="266700" cy="2667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)을 누르면 대메뉴가 사라지고 대시보드를 전체 화면으로 전환합니다. 전체 화면 종료 버튼(</w:t>
      </w:r>
      <w:r>
        <w:drawing>
          <wp:inline distT="0" distR="0" distB="0" distL="0">
            <wp:extent cx="266700" cy="2667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)을 누르면 전체 화면 모드를 종료합니다.</w:t>
      </w:r>
    </w:p>
    <w:p>
      <w:r>
        <w:drawing>
          <wp:inline distT="0" distR="0" distB="0" distL="0">
            <wp:extent cx="5715000" cy="42545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어두운/밝은 테마</w:t>
      </w:r>
    </w:p>
    <w:p>
      <w:r>
        <w:t>대시보드에 어두운 테마를 입힐 수 있습니다. 다크 모드 토글 버튼을 눌러서 어두운 테마와 밝은 테마 중 하나로 전환할 수 있습니다.</w:t>
      </w:r>
    </w:p>
    <w:p>
      <w:r>
        <w:drawing>
          <wp:inline distT="0" distR="0" distB="0" distL="0">
            <wp:extent cx="5715000" cy="38354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공유하기</w:t>
      </w:r>
    </w:p>
    <w:p>
      <w:pPr>
        <w:pStyle w:val="a7"/>
      </w:pPr>
      <w:r>
        <w:t>다른 사용자와 공유</w:t>
      </w:r>
    </w:p>
    <w:p>
      <w:r>
        <w:t xml:space="preserve">사용자들에게 부여되는 프리셋 이용 권한은 </w:t>
      </w:r>
      <w:hyperlink r:id="rId19">
        <w:r>
          <w:rPr>
            <w:rStyle w:val="a6"/>
          </w:rPr>
          <w:t>앱 관리</w:t>
        </w:r>
      </w:hyperlink>
      <w:r>
        <w:t xml:space="preserve">에서 부여한 권한을 상속받습니다. 그 외에 </w:t>
      </w:r>
      <w:r>
        <w:rPr>
          <w:b w:val="on"/>
        </w:rPr>
        <w:t>프리셋 공유</w:t>
      </w:r>
      <w:r>
        <w:t>에서 다른 사용자들이 프리셋을 조회하거나 수정할 수 있도록 권한을 할당할 수 있습니다. 공유되는 프리셋의 기본 권한은 "읽기"입니다.</w:t>
      </w:r>
    </w:p>
    <w:p>
      <w:r>
        <w:t>관리자는 프리셋으로 권한이 부여되어 있지 않아도 모든 사용자들의 프리셋을 읽고 수정할 수 있습니다.</w:t>
      </w:r>
    </w:p>
    <w:p>
      <w:r>
        <w:t>프리셋을 다른 사용자들에게 공유하려면,</w:t>
      </w:r>
    </w:p>
    <w:p>
      <w:r>
        <w:t>대시보드에서 공유할 프리셋을 조회합니다.</w:t>
      </w:r>
    </w:p>
    <w:p>
      <w:hyperlink r:id="rId20">
        <w:r>
          <w:rPr>
            <w:rStyle w:val="a6"/>
          </w:rPr>
          <w:t>대시보드 도구 모음</w:t>
        </w:r>
      </w:hyperlink>
      <w:r>
        <w:t xml:space="preserve">에서 </w:t>
      </w:r>
      <w:r>
        <w:rPr>
          <w:b w:val="on"/>
        </w:rPr>
        <w:t>공유 &gt; 프리셋 공유</w:t>
      </w:r>
      <w:r>
        <w:t>를 누릅니다.</w:t>
      </w:r>
    </w:p>
    <w:p>
      <w:r>
        <w:rPr>
          <w:b w:val="on"/>
        </w:rPr>
        <w:t>프리셋 공유</w:t>
      </w:r>
      <w:r>
        <w:t>에서 프리셋 접근 권한을 부여할 계정이나 보안그룹을 지정합니다.</w:t>
      </w:r>
      <w:r>
        <w:drawing>
          <wp:inline distT="0" distR="0" distB="0" distL="0">
            <wp:extent cx="5715000" cy="51435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0"/>
        </w:numPr>
        <w:spacing w:before="0" w:after="0"/>
        <w:ind w:left="360" w:hanging="360"/>
      </w:pPr>
      <w:r>
        <w:t xml:space="preserve">검색 창에 계정 아이디를 직접 입력하거나, </w:t>
      </w:r>
      <w:r>
        <w:rPr>
          <w:b w:val="on"/>
        </w:rPr>
        <w:t>목록에서 선택</w:t>
      </w:r>
      <w:r>
        <w:t xml:space="preserve">을 누른 후 </w:t>
      </w:r>
      <w:r>
        <w:rPr>
          <w:b w:val="on"/>
        </w:rPr>
        <w:t>계정 또는 보안그룹</w:t>
      </w:r>
      <w:r>
        <w:t>에서 계정이나 보안그룹을 선택할 수 있습니다.</w:t>
      </w:r>
    </w:p>
    <w:p>
      <w:pPr>
        <w:numPr>
          <w:numId w:val="10"/>
        </w:numPr>
        <w:spacing w:before="0" w:after="0"/>
        <w:ind w:left="360" w:hanging="360"/>
      </w:pPr>
      <w:r>
        <w:t xml:space="preserve">선택한 후에 </w:t>
      </w:r>
      <w:r>
        <w:rPr>
          <w:b w:val="on"/>
        </w:rPr>
        <w:t>저장</w:t>
      </w:r>
      <w:r>
        <w:t>을 눌러 창을 닫습니다.</w:t>
      </w:r>
    </w:p>
    <w:p>
      <w:r>
        <w:rPr>
          <w:b w:val="on"/>
        </w:rPr>
        <w:t>읽기</w:t>
      </w:r>
      <w:r>
        <w:t>/</w:t>
      </w:r>
      <w:r>
        <w:rPr>
          <w:b w:val="on"/>
        </w:rPr>
        <w:t>쓰기</w:t>
      </w:r>
      <w:r>
        <w:t xml:space="preserve"> 권한 중 하나를 할당합니다. 쓰기 권한을 선택하면 읽기 권한도 동시에 부여됩니다.</w:t>
      </w:r>
      <w:r>
        <w:drawing>
          <wp:inline distT="0" distR="0" distB="0" distL="0">
            <wp:extent cx="5715000" cy="32258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공유</w:t>
      </w:r>
      <w:r>
        <w:t>를 눌러 창을 닫습니다.</w:t>
      </w:r>
    </w:p>
    <w:p>
      <w:pPr>
        <w:pStyle w:val="a7"/>
      </w:pPr>
      <w:r>
        <w:t>웹으로 대시보드 공유</w:t>
      </w:r>
    </w:p>
    <w:p>
      <w:r>
        <w:t>로그프레소 서버에 사용자 계정이 없어도 데이터를 조회할 수 있도록 웹으로 대시보드 프리셋을 공유할 수 있습니다.</w:t>
      </w:r>
    </w:p>
    <w:p>
      <w:hyperlink r:id="rId23">
        <w:r>
          <w:rPr>
            <w:rStyle w:val="a6"/>
          </w:rPr>
          <w:t>대시보드 도구 모음</w:t>
        </w:r>
      </w:hyperlink>
      <w:r>
        <w:t xml:space="preserve">에서 </w:t>
      </w:r>
      <w:r>
        <w:rPr>
          <w:b w:val="on"/>
        </w:rPr>
        <w:t>공유 &gt; 외부 대시보드 공유</w:t>
      </w:r>
      <w:r>
        <w:t>를 누릅니다.</w:t>
      </w:r>
    </w:p>
    <w:p>
      <w:r>
        <w:t xml:space="preserve">외부 공유에 사용할 계정을 선택하고 </w:t>
      </w:r>
      <w:r>
        <w:rPr>
          <w:b w:val="on"/>
        </w:rPr>
        <w:t>다음</w:t>
      </w:r>
      <w:r>
        <w:t>을 누릅니다.</w:t>
      </w:r>
    </w:p>
    <w:p>
      <w:r>
        <w:drawing>
          <wp:inline distT="0" distR="0" distB="0" distL="0">
            <wp:extent cx="5715000" cy="32512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2"/>
        </w:numPr>
        <w:spacing w:before="0" w:after="0"/>
        <w:ind w:left="360" w:hanging="360"/>
      </w:pPr>
      <w:r>
        <w:t>대시보드의 외부 공유에 사용할 계정은 일반 사용자 계정만 사용할 수 있고, 관리자 계정은 목록에 포함되어 있지 않습니다.</w:t>
      </w:r>
    </w:p>
    <w:p>
      <w:r>
        <w:t xml:space="preserve">대시보드 URL을 확인합니다. 해당 URL로 직접 대시보드를 조회하거나 </w:t>
      </w:r>
      <w:r>
        <w:rPr>
          <w:rStyle w:val="af4"/>
        </w:rPr>
        <w:t>iframe</w:t>
      </w:r>
      <w:r>
        <w:t xml:space="preserve"> HTML 태그를 이용해 다른 웹 탭 패널에 삽입할 수 있습니다.</w:t>
      </w:r>
    </w:p>
    <w:p>
      <w:r>
        <w:drawing>
          <wp:inline distT="0" distR="0" distB="0" distL="0">
            <wp:extent cx="5715000" cy="2794000"/>
            <wp:docPr id="9" name="Drawing 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대시보드 URL은 로그프레소 서버의 주소 뒤에 </w:t>
      </w:r>
      <w:r>
        <w:rPr>
          <w:rStyle w:val="af4"/>
        </w:rPr>
        <w:t>/logpresso/DASHBOARD_GUID?apikey=API_KEY</w:t>
      </w:r>
      <w:r>
        <w:t>가 붙은 형식으로 구성됩니다.</w:t>
      </w:r>
    </w:p>
    <w:p>
      <w:pPr>
        <w:numPr>
          <w:numId w:val="13"/>
        </w:numPr>
        <w:spacing w:before="0" w:after="0"/>
        <w:ind w:left="360" w:hanging="360"/>
      </w:pPr>
      <w:r>
        <w:rPr>
          <w:rStyle w:val="af4"/>
        </w:rPr>
        <w:t>DASHBOARD_GUID</w:t>
      </w:r>
      <w:r>
        <w:t>: 대시보드의 GUID</w:t>
      </w:r>
    </w:p>
    <w:p>
      <w:pPr>
        <w:numPr>
          <w:numId w:val="13"/>
        </w:numPr>
        <w:spacing w:before="0" w:after="0"/>
        <w:ind w:left="360" w:hanging="360"/>
      </w:pPr>
      <w:r>
        <w:rPr>
          <w:rStyle w:val="af4"/>
        </w:rPr>
        <w:t>API_KEY</w:t>
      </w:r>
      <w:r>
        <w:t xml:space="preserve">: 외부 공유 기능을 제공할 계정의 </w:t>
      </w:r>
      <w:hyperlink r:id="rId26">
        <w:r>
          <w:rPr>
            <w:rStyle w:val="a6"/>
          </w:rPr>
          <w:t>API 키</w:t>
        </w:r>
      </w:hyperlink>
    </w:p>
    <w:p>
      <w:r>
        <w:rPr>
          <w:b w:val="on"/>
        </w:rPr>
        <w:t>닫기</w:t>
      </w:r>
      <w:r>
        <w:t>를 눌러 창을 닫습니다.</w:t>
      </w:r>
    </w:p>
    <w:p>
      <w:pPr>
        <w:pStyle w:val="a7"/>
      </w:pPr>
      <w:r>
        <w:t>공유 취소</w:t>
      </w:r>
    </w:p>
    <w:p>
      <w:hyperlink r:id="rId27">
        <w:r>
          <w:rPr>
            <w:rStyle w:val="a6"/>
          </w:rPr>
          <w:t>다른 사용자와 공유</w:t>
        </w:r>
      </w:hyperlink>
      <w:r>
        <w:t xml:space="preserve">했거나, </w:t>
      </w:r>
      <w:hyperlink r:id="rId28">
        <w:r>
          <w:rPr>
            <w:rStyle w:val="a6"/>
          </w:rPr>
          <w:t>웹으로 대시보드를 공유</w:t>
        </w:r>
      </w:hyperlink>
      <w:r>
        <w:t>한 경우, 모두 동일한 방법으로 공유를 취소할 수 있습니다.</w:t>
      </w:r>
    </w:p>
    <w:p>
      <w:hyperlink r:id="rId29">
        <w:r>
          <w:rPr>
            <w:rStyle w:val="a6"/>
          </w:rPr>
          <w:t>대시보드 도구 모음</w:t>
        </w:r>
      </w:hyperlink>
      <w:r>
        <w:t xml:space="preserve">에서 </w:t>
      </w:r>
      <w:r>
        <w:rPr>
          <w:b w:val="on"/>
        </w:rPr>
        <w:t>공유 &gt; 프리셋 공유</w:t>
      </w:r>
      <w:r>
        <w:t>를 누릅니다.</w:t>
      </w:r>
    </w:p>
    <w:p>
      <w:r>
        <w:t xml:space="preserve">계정 또는 보안그룹 목록에서 공유를 중지할 계정이나 보안그룹을 선택하고 </w:t>
      </w:r>
      <w:r>
        <w:rPr>
          <w:b w:val="on"/>
        </w:rPr>
        <w:t>공유 안함</w:t>
      </w:r>
      <w:r>
        <w:t xml:space="preserve"> 열에서 "</w:t>
      </w:r>
      <w:r>
        <w:rPr>
          <w:b w:val="on"/>
        </w:rPr>
        <w:t>[X]</w:t>
      </w:r>
      <w:r>
        <w:t>"를 누릅니다.</w:t>
      </w:r>
    </w:p>
    <w:p>
      <w:r>
        <w:rPr>
          <w:b w:val="on"/>
        </w:rPr>
        <w:t>공유</w:t>
      </w:r>
      <w:r>
        <w:t>를 눌러 창을 닫습니다.</w:t>
      </w:r>
    </w:p>
    <w:p>
      <w:pPr>
        <w:pStyle w:val="4"/>
      </w:pPr>
      <w:r>
        <w:t>탭 패널 관리</w:t>
      </w:r>
    </w:p>
    <w:p>
      <w:r>
        <w:t xml:space="preserve">앱을 설치하면 저마다 용도에 맞도록 구성된 프리셋을 제공합니다. 프리셋은 하나 이상의 탭 패널로 구성되어 있습니다. 예를 들어 </w:t>
      </w:r>
      <w:hyperlink r:id="rId30">
        <w:r>
          <w:rPr>
            <w:rStyle w:val="a6"/>
          </w:rPr>
          <w:t>아파치 웹 서버</w:t>
        </w:r>
      </w:hyperlink>
      <w:r>
        <w:t xml:space="preserve"> 앱을 설치하면 </w:t>
      </w:r>
      <w:r>
        <w:rPr>
          <w:b w:val="on"/>
        </w:rPr>
        <w:t>접속 현황</w:t>
      </w:r>
      <w:r>
        <w:t xml:space="preserve">, </w:t>
      </w:r>
      <w:r>
        <w:rPr>
          <w:b w:val="on"/>
        </w:rPr>
        <w:t>공격 및 오류</w:t>
      </w:r>
      <w:r>
        <w:t xml:space="preserve"> 2개의 탭 패널로 구성되어 있습니다.</w:t>
      </w:r>
    </w:p>
    <w:p>
      <w:r>
        <w:drawing>
          <wp:inline distT="0" distR="0" distB="0" distL="0">
            <wp:extent cx="5715000" cy="2540000"/>
            <wp:docPr id="10" name="Drawing 1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다른 패널로 이동하려면 이동할 패널의 탭을 누르십시오. 2개 이상의 탭 패널이 있을 때, 탭 위에 커서를 놓으면 역삼각형이 나타납니다. 이 역삼각형을 누르면 탭 이동, 삭제, 홈으로 설정 기능을 이용할 수 있습니다.</w:t>
      </w:r>
    </w:p>
    <w:p>
      <w:pPr>
        <w:pStyle w:val="a7"/>
      </w:pPr>
      <w:r>
        <w:t>새 탭 추가</w:t>
      </w:r>
    </w:p>
    <w:p>
      <w:r>
        <w:t>새 탭을 추가하려면 다음과 같이 하십시오.</w:t>
      </w:r>
    </w:p>
    <w:p>
      <w:r>
        <w:t>탭 목록에서 오른쪽에 있는 "</w:t>
      </w:r>
      <w:r>
        <w:rPr>
          <w:b w:val="on"/>
        </w:rPr>
        <w:t>+</w:t>
      </w:r>
      <w:r>
        <w:t>"를 누릅니다.</w:t>
      </w:r>
    </w:p>
    <w:p>
      <w:r>
        <w:drawing>
          <wp:inline distT="0" distR="0" distB="0" distL="0">
            <wp:extent cx="5715000" cy="3263900"/>
            <wp:docPr id="11" name="Drawing 1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탭 이름을 입력하세요</w:t>
      </w:r>
      <w:r>
        <w:t xml:space="preserve"> 창에 사용할 이름을 입력하고 </w:t>
      </w:r>
      <w:r>
        <w:rPr>
          <w:b w:val="on"/>
        </w:rPr>
        <w:t>확인</w:t>
      </w:r>
      <w:r>
        <w:t>을 누릅니다.</w:t>
      </w:r>
    </w:p>
    <w:p>
      <w:r>
        <w:drawing>
          <wp:inline distT="0" distR="0" distB="0" distL="0">
            <wp:extent cx="5715000" cy="2298700"/>
            <wp:docPr id="12" name="Drawing 1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홈 탭 설정하기</w:t>
      </w:r>
    </w:p>
    <w:p>
      <w:r>
        <w:t>대시보드의 홈으로 사용할 탭을 지정하려면 다음과 같이 하십시오.</w:t>
      </w:r>
    </w:p>
    <w:p>
      <w:r>
        <w:t>홈으로 사용할 탭을 누릅니다.</w:t>
      </w:r>
    </w:p>
    <w:p>
      <w:r>
        <w:rPr>
          <w:b w:val="on"/>
        </w:rPr>
        <w:t>홈으로 설정</w:t>
      </w:r>
      <w:r>
        <w:t>을 선택합니다.</w:t>
      </w:r>
    </w:p>
    <w:p>
      <w:r>
        <w:drawing>
          <wp:inline distT="0" distR="0" distB="0" distL="0">
            <wp:extent cx="5715000" cy="5956300"/>
            <wp:docPr id="13" name="Drawing 1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"/>
                    <pic:cNvPicPr>
                      <a:picLocks noChangeAspect="true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탭 이름 바꾸기</w:t>
      </w:r>
    </w:p>
    <w:p>
      <w:r>
        <w:t>탭 패널의 이름을 바꾸려면 다음과 같이 하십시오.</w:t>
      </w:r>
    </w:p>
    <w:p>
      <w:r>
        <w:t>이름을 바꿀 탭을 선택합니다.</w:t>
      </w:r>
    </w:p>
    <w:p>
      <w:pPr>
        <w:numPr>
          <w:numId w:val="18"/>
        </w:numPr>
        <w:spacing w:before="0" w:after="0"/>
        <w:ind w:left="360" w:hanging="360"/>
      </w:pPr>
      <w:r>
        <w:t>현재 사용 중인 탭 패널이면 탭을 한번 누릅니다.</w:t>
      </w:r>
    </w:p>
    <w:p>
      <w:pPr>
        <w:numPr>
          <w:numId w:val="18"/>
        </w:numPr>
        <w:spacing w:before="0" w:after="0"/>
        <w:ind w:left="360" w:hanging="360"/>
      </w:pPr>
      <w:r>
        <w:t>현재 열린 탭 패널이 아니라면 탭을 두 번 누릅니다.</w:t>
      </w:r>
    </w:p>
    <w:p>
      <w:r>
        <w:t xml:space="preserve">탭에 커서가 깜빡이며 입력이 가능한 상태로 바뀌면 새 이름을 입력하고 </w:t>
      </w:r>
      <w:r>
        <w:rPr>
          <w:b w:val="on"/>
        </w:rPr>
        <w:t>Enter</w:t>
      </w:r>
      <w:r>
        <w:t xml:space="preserve"> 키를 누릅니다.</w:t>
      </w:r>
    </w:p>
    <w:p>
      <w:r>
        <w:drawing>
          <wp:inline distT="0" distR="0" distB="0" distL="0">
            <wp:extent cx="5715000" cy="2222500"/>
            <wp:docPr id="14" name="Drawing 1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"/>
                    <pic:cNvPicPr>
                      <a:picLocks noChangeAspect="true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삭제하기</w:t>
      </w:r>
    </w:p>
    <w:p>
      <w:r>
        <w:t>탭을 삭제하려면,</w:t>
      </w:r>
    </w:p>
    <w:p>
      <w:r>
        <w:t>삭제할 패널의 탭을 누릅니다.</w:t>
      </w:r>
    </w:p>
    <w:p>
      <w:r>
        <w:t xml:space="preserve">메뉴에서 </w:t>
      </w:r>
      <w:r>
        <w:rPr>
          <w:b w:val="on"/>
        </w:rPr>
        <w:t>삭제</w:t>
      </w:r>
      <w:r>
        <w:t>를 선택합니다.</w:t>
      </w:r>
    </w:p>
    <w:p>
      <w:r>
        <w:drawing>
          <wp:inline distT="0" distR="0" distB="0" distL="0">
            <wp:extent cx="5715000" cy="5918200"/>
            <wp:docPr id="15" name="Drawing 1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"/>
                    <pic:cNvPicPr>
                      <a:picLocks noChangeAspect="true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탭 삭제</w:t>
      </w:r>
      <w:r>
        <w:t xml:space="preserve"> 대화상자에서 </w:t>
      </w:r>
      <w:r>
        <w:rPr>
          <w:b w:val="on"/>
        </w:rPr>
        <w:t>삭제</w:t>
      </w:r>
      <w:r>
        <w:t>를 누릅니다.</w:t>
      </w:r>
    </w:p>
    <w:p>
      <w:pPr>
        <w:pStyle w:val="a7"/>
      </w:pPr>
      <w:r>
        <w:t>순서 바꾸기</w:t>
      </w:r>
    </w:p>
    <w:p>
      <w:r>
        <w:t>탭 순서를 바꾸려면,</w:t>
      </w:r>
    </w:p>
    <w:p>
      <w:r>
        <w:t>순서를 변경할 패널의 탭을 누릅니다.</w:t>
      </w:r>
    </w:p>
    <w:p>
      <w:r>
        <w:t xml:space="preserve">원하는 방향으로 </w:t>
      </w:r>
      <w:r>
        <w:rPr>
          <w:b w:val="on"/>
        </w:rPr>
        <w:t>탭 이동</w:t>
      </w:r>
      <w:r>
        <w:t>을 선택합니다.</w:t>
      </w:r>
    </w:p>
    <w:p>
      <w:r>
        <w:drawing>
          <wp:inline distT="0" distR="0" distB="0" distL="0">
            <wp:extent cx="5715000" cy="5956300"/>
            <wp:docPr id="16" name="Drawing 1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"/>
                    <pic:cNvPicPr>
                      <a:picLocks noChangeAspect="true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위젯 관리</w:t>
      </w:r>
    </w:p>
    <w:p>
      <w:r>
        <w:t>위젯의 상단 오른쪽에 커서를 올려놓으면 위젯 관리 버튼이 나타납니다. 이 버튼을 눌러서 위젯 일시 정지, 업데이트, 속성 조회, 위젯 삭제와 같은 작업을 수행할 수 있습니다.</w:t>
      </w:r>
    </w:p>
    <w:p>
      <w:r>
        <w:drawing>
          <wp:inline distT="0" distR="0" distB="0" distL="0">
            <wp:extent cx="5715000" cy="2438400"/>
            <wp:docPr id="17" name="Drawing 1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"/>
                    <pic:cNvPicPr>
                      <a:picLocks noChangeAspect="true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버튼의 기능은 왼쪽부터 순서대로  다음과 같습니다.</w:t>
      </w:r>
    </w:p>
    <w:p>
      <w:r>
        <w:rPr>
          <w:b w:val="on"/>
        </w:rPr>
        <w:t>정지/시작</w:t>
      </w:r>
    </w:p>
    <w:p>
      <w:pPr>
        <w:ind w:left="400"/>
      </w:pPr>
      <w:r>
        <w:t>위젯의 새로고침을 중지하거나 재시작합니다. 이 버튼은 토글 버튼으로, 새로고침이 중지된 위젯에서 이 버튼을 누르맨 다시 시작하고,  새로고침이 활성화된 위젯에서 이 버튼을 누르면 새로고침을 멈춥니다.</w:t>
      </w:r>
    </w:p>
    <w:p>
      <w:r>
        <w:rPr>
          <w:b w:val="on"/>
        </w:rPr>
        <w:t>지금 새로고침</w:t>
      </w:r>
    </w:p>
    <w:p>
      <w:pPr>
        <w:ind w:left="400"/>
      </w:pPr>
      <w:r>
        <w:t>위젯의 새로고침 주기를 무시하고 바로 갱신해서 보려면 이 버튼을 누릅니다.</w:t>
      </w:r>
    </w:p>
    <w:p>
      <w:r>
        <w:rPr>
          <w:b w:val="on"/>
        </w:rPr>
        <w:t>정보</w:t>
      </w:r>
    </w:p>
    <w:p>
      <w:pPr>
        <w:ind w:left="400"/>
      </w:pPr>
      <w:r>
        <w:t>이 버튼을 누르면 위젯의 데이터 원본, 속성 등을 조회하거나 수정할 수 있고, 미리보기로 수정된 내용을 확인할 수 있습니다. 프리셋 소유자와 관리 권한을 부여받은 사용자만 변경할 수 있습니다.</w:t>
      </w:r>
    </w:p>
    <w:p>
      <w:r>
        <w:rPr>
          <w:b w:val="on"/>
        </w:rPr>
        <w:t>삭제</w:t>
      </w:r>
    </w:p>
    <w:p>
      <w:pPr>
        <w:ind w:left="400"/>
      </w:pPr>
      <w:r>
        <w:t>이 버튼을 누르면 사용자의 확인을 거친 후 위젯을 패널에서 삭제합니다. 프리셋 소유자와 권한을 부여받은 사용자만 삭제할 수 있습니다.</w:t>
      </w:r>
    </w:p>
    <w:p>
      <w:pPr>
        <w:pStyle w:val="a7"/>
      </w:pPr>
      <w:r>
        <w:t>위젯의 재배치</w:t>
      </w:r>
    </w:p>
    <w:p>
      <w:r>
        <w:t>이미 배치한 위젯의 위치를 변경할 수 있습니다.</w:t>
      </w:r>
    </w:p>
    <w:p>
      <w:r>
        <w:t>커서를 재배치할 위젯의 윗쪽 테두리에 올려놓으십시오. 주황색 선 형태의 핸들이 나타나고 커서가 손 모양으로 변경됩니다.</w:t>
      </w:r>
    </w:p>
    <w:p>
      <w:r>
        <w:drawing>
          <wp:inline distT="0" distR="0" distB="0" distL="0">
            <wp:extent cx="5715000" cy="4318000"/>
            <wp:docPr id="18" name="Drawing 1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"/>
                    <pic:cNvPicPr>
                      <a:picLocks noChangeAspect="true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마우스 버튼을 누른채로 드래그하여 원하는 위치의 레이아웃 포인터로 위젯을 이동시키십시오.</w:t>
      </w:r>
    </w:p>
    <w:p>
      <w:r>
        <w:drawing>
          <wp:inline distT="0" distR="0" distB="0" distL="0">
            <wp:extent cx="5715000" cy="2946400"/>
            <wp:docPr id="19" name="Drawing 1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"/>
                    <pic:cNvPicPr>
                      <a:picLocks noChangeAspect="true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22"/>
        </w:numPr>
        <w:spacing w:before="0" w:after="0"/>
        <w:ind w:left="360" w:hanging="360"/>
      </w:pPr>
      <w:r>
        <w:t>패널의 상하좌우에 표시되는 포인터들은 패널을 기준으로 위젯을 배치할 때 사용됩니다.</w:t>
      </w:r>
    </w:p>
    <w:p>
      <w:pPr>
        <w:numPr>
          <w:numId w:val="22"/>
        </w:numPr>
        <w:spacing w:before="0" w:after="0"/>
        <w:ind w:left="360" w:hanging="360"/>
      </w:pPr>
      <w:r>
        <w:t>위젯의 가운데에 표시되는 포인터들은 해당 위젯의 위치를 기준으로 새 위젯을 배치할 때 사용됩니다.</w:t>
      </w:r>
    </w:p>
    <w:p>
      <w:r>
        <w:t>마우스 버튼을 놓고 위젯의 위치를 확인하십시오.</w:t>
      </w:r>
    </w:p>
    <w:p>
      <w:pPr>
        <w:pStyle w:val="a7"/>
      </w:pPr>
      <w:r>
        <w:t>위젯의 크기 변경</w:t>
      </w:r>
    </w:p>
    <w:p>
      <w:r>
        <w:t>필요에 따라 위젯의 크기를 변경할 수 있습니다.</w:t>
      </w:r>
    </w:p>
    <w:p>
      <w:r>
        <w:t>커서를 위젯 사이의 경계에 올려놓으십시오. 커서가 양방향 화살표 모양으로 변경됩니다.</w:t>
      </w:r>
    </w:p>
    <w:p>
      <w:r>
        <w:drawing>
          <wp:inline distT="0" distR="0" distB="0" distL="0">
            <wp:extent cx="5715000" cy="2159000"/>
            <wp:docPr id="20" name="Drawing 2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"/>
                    <pic:cNvPicPr>
                      <a:picLocks noChangeAspect="true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이 때 마우스 버튼을 누른채로 드래그하여 위젯의 크기를 변경할 수 있습니다.</w:t>
      </w:r>
    </w:p>
    <w:p>
      <w:r>
        <w:t>원하는 위치로 경계를 변경한 다음, 마우스 버튼을 놓으십시오.</w:t>
      </w:r>
    </w:p>
    <w:p>
      <w:r>
        <w:drawing>
          <wp:inline distT="0" distR="0" distB="0" distL="0">
            <wp:extent cx="5715000" cy="2159000"/>
            <wp:docPr id="21" name="Drawing 2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"/>
                    <pic:cNvPicPr>
                      <a:picLocks noChangeAspect="true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위젯 이름 바꾸기</w:t>
      </w:r>
    </w:p>
    <w:p>
      <w:r>
        <w:t>위젯의 이름을 바꾸려면 다음과 같이 하십시오.</w:t>
      </w:r>
    </w:p>
    <w:p>
      <w:r>
        <w:t>이름을 바꿀 위젯의 이름에 커서를 올려놓으면 주황색으로 색이 변경됩니다. 이름을 누릅니다.</w:t>
      </w:r>
    </w:p>
    <w:p>
      <w:r>
        <w:t xml:space="preserve">커서가 깜빡이며 이름을 입력할 수 있는 상태로 바뀌면 새 이름을 입력하고 </w:t>
      </w:r>
      <w:r>
        <w:rPr>
          <w:b w:val="on"/>
        </w:rPr>
        <w:t>Enter</w:t>
      </w:r>
      <w:r>
        <w:t xml:space="preserve"> 키를 누릅니다.</w:t>
      </w:r>
    </w:p>
    <w:p>
      <w:r>
        <w:drawing>
          <wp:inline distT="0" distR="0" distB="0" distL="0">
            <wp:extent cx="5715000" cy="2324100"/>
            <wp:docPr id="22" name="Drawing 2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"/>
                    <pic:cNvPicPr>
                      <a:picLocks noChangeAspect="true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기타 프리셋 관리 기능</w:t>
      </w:r>
    </w:p>
    <w:p>
      <w:pPr>
        <w:pStyle w:val="a7"/>
      </w:pPr>
      <w:r>
        <w:t>파일로 내보내기</w:t>
      </w:r>
    </w:p>
    <w:p>
      <w:r>
        <w:t xml:space="preserve">사용 중인 프리셋을 내보내 백업하거나 다른 로그프레소 플랫폼에서 사용할 수 있습니다. 파일을 내보내려면 </w:t>
      </w:r>
      <w:hyperlink r:id="rId44">
        <w:r>
          <w:rPr>
            <w:rStyle w:val="a6"/>
          </w:rPr>
          <w:t>대시보드 도구 모음</w:t>
        </w:r>
      </w:hyperlink>
      <w:r>
        <w:t xml:space="preserve">에서 </w:t>
      </w:r>
      <w:r>
        <w:rPr>
          <w:b w:val="on"/>
        </w:rPr>
        <w:t>톱니바퀴 &gt; 프리셋 다운로드</w:t>
      </w:r>
      <w:r>
        <w:t>를 누르십시오.</w:t>
      </w:r>
    </w:p>
    <w:p>
      <w:pPr>
        <w:pStyle w:val="a7"/>
      </w:pPr>
      <w:r>
        <w:t>프리셋 이름 바꾸기</w:t>
      </w:r>
    </w:p>
    <w:p>
      <w:r>
        <w:t xml:space="preserve">대시보드에서 프리셋의 이름을 누른 후 다른 이름으로 바꿀 수 있습니다. 이름을 입력한 후 </w:t>
      </w:r>
      <w:r>
        <w:rPr>
          <w:b w:val="on"/>
        </w:rPr>
        <w:t>Enter</w:t>
      </w:r>
      <w:r>
        <w:t xml:space="preserve"> 키를 누르면 이름이 변경됩니다.</w:t>
      </w:r>
    </w:p>
    <w:p>
      <w:r>
        <w:drawing>
          <wp:inline distT="0" distR="0" distB="0" distL="0">
            <wp:extent cx="5715000" cy="3086100"/>
            <wp:docPr id="23" name="Drawing 2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"/>
                    <pic:cNvPicPr>
                      <a:picLocks noChangeAspect="true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프리셋 이름 및 위젯 글꼴 크기 변경</w:t>
      </w:r>
    </w:p>
    <w:p>
      <w:r>
        <w:t>프리셋과 위젯의 제목 글꼴 크기를 변경하려면,</w:t>
      </w:r>
    </w:p>
    <w:p>
      <w:hyperlink r:id="rId46">
        <w:r>
          <w:rPr>
            <w:rStyle w:val="a6"/>
          </w:rPr>
          <w:t>대시보드 도구 모음</w:t>
        </w:r>
      </w:hyperlink>
      <w:r>
        <w:t xml:space="preserve">에서 </w:t>
      </w:r>
      <w:r>
        <w:rPr>
          <w:b w:val="on"/>
        </w:rPr>
        <w:t>공유 &gt; 외부 대시보드 공유</w:t>
      </w:r>
      <w:r>
        <w:t>를 누릅니다.</w:t>
      </w:r>
    </w:p>
    <w:p>
      <w:r>
        <w:rPr>
          <w:b w:val="on"/>
        </w:rPr>
        <w:t>프리셋 설정</w:t>
      </w:r>
      <w:r>
        <w:t xml:space="preserve">에서 </w:t>
      </w:r>
      <w:r>
        <w:rPr>
          <w:b w:val="on"/>
        </w:rPr>
        <w:t>프리셋 제목 폰트 크기</w:t>
      </w:r>
      <w:r>
        <w:t xml:space="preserve">, </w:t>
      </w:r>
      <w:r>
        <w:rPr>
          <w:b w:val="on"/>
        </w:rPr>
        <w:t>위젯 제목 폰트 크기</w:t>
      </w:r>
      <w:r>
        <w:t xml:space="preserve">에 적절한 값을 입력하고 </w:t>
      </w:r>
      <w:r>
        <w:rPr>
          <w:b w:val="on"/>
        </w:rPr>
        <w:t>저장</w:t>
      </w:r>
      <w:r>
        <w:t>을 누릅니다.</w:t>
      </w:r>
    </w:p>
    <w:p>
      <w:r>
        <w:drawing>
          <wp:inline distT="0" distR="0" distB="0" distL="0">
            <wp:extent cx="5715000" cy="3644900"/>
            <wp:docPr id="24" name="Drawing 2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"/>
                    <pic:cNvPicPr>
                      <a:picLocks noChangeAspect="true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프리셋 삭제하기</w:t>
      </w:r>
    </w:p>
    <w:p>
      <w:r>
        <w:t>프리셋을 삭제하려면,</w:t>
      </w:r>
    </w:p>
    <w:p>
      <w:r>
        <w:t xml:space="preserve">삭제할 프리셋을 연 상태에서 </w:t>
      </w:r>
      <w:hyperlink r:id="rId48">
        <w:r>
          <w:rPr>
            <w:rStyle w:val="a6"/>
          </w:rPr>
          <w:t>대시보드 도구 모음</w:t>
        </w:r>
      </w:hyperlink>
      <w:r>
        <w:t>에 있는 톱니바퀴 버튼을 누릅니다.</w:t>
      </w:r>
    </w:p>
    <w:p>
      <w:r>
        <w:rPr>
          <w:b w:val="on"/>
        </w:rPr>
        <w:t>이 프리셋 삭제</w:t>
      </w:r>
      <w:r>
        <w:t>를 누릅니다.</w:t>
      </w:r>
    </w:p>
    <w:p>
      <w:r>
        <w:rPr>
          <w:b w:val="on"/>
        </w:rPr>
        <w:t>프리셋 삭제</w:t>
      </w:r>
      <w:r>
        <w:t xml:space="preserve"> 대화상자에서 </w:t>
      </w:r>
      <w:r>
        <w:rPr>
          <w:b w:val="on"/>
        </w:rPr>
        <w:t>삭제</w:t>
      </w:r>
      <w:r>
        <w:t>를 누릅니다.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2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3">
    <w:lvl w:ilvl="0">
      <w:start w:val="1"/>
      <w:numFmt w:val="decimal"/>
      <w:lvlText w:val="%1."/>
    </w:lvl>
  </w:abstractNum>
  <w:abstractNum w:abstractNumId="4">
    <w:lvl w:ilvl="0">
      <w:start w:val="1"/>
      <w:numFmt w:val="decimal"/>
      <w:lvlText w:val="%1."/>
    </w:lvl>
  </w:abstractNum>
  <w:abstractNum w:abstractNumId="5">
    <w:lvl w:ilvl="0">
      <w:start w:val="1"/>
      <w:numFmt w:val="decimal"/>
      <w:lvlText w:val="%1."/>
    </w:lvl>
  </w:abstractNum>
  <w:abstractNum w:abstractNumId="6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7">
    <w:lvl w:ilvl="0">
      <w:start w:val="1"/>
      <w:numFmt w:val="decimal"/>
      <w:lvlText w:val="%1."/>
    </w:lvl>
  </w:abstractNum>
  <w:abstractNum w:abstractNumId="8">
    <w:lvl w:ilvl="0">
      <w:start w:val="1"/>
      <w:numFmt w:val="decimal"/>
      <w:lvlText w:val="%1."/>
    </w:lvl>
  </w:abstractNum>
  <w:abstractNum w:abstractNumId="9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10">
    <w:lvl w:ilvl="0">
      <w:start w:val="1"/>
      <w:numFmt w:val="decimal"/>
      <w:lvlText w:val="%1."/>
    </w:lvl>
  </w:abstractNum>
  <w:abstractNum w:abstractNumId="11">
    <w:lvl w:ilvl="0">
      <w:start w:val="1"/>
      <w:numFmt w:val="decimal"/>
      <w:lvlText w:val="%1."/>
    </w:lvl>
  </w:abstractNum>
  <w:abstractNum w:abstractNumId="12">
    <w:lvl w:ilvl="0">
      <w:start w:val="1"/>
      <w:numFmt w:val="decimal"/>
      <w:lvlText w:val="%1."/>
    </w:lvl>
  </w:abstractNum>
  <w:abstractNum w:abstractNumId="13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1"/>
  </w:num>
  <w:num w:numId="10">
    <w:abstractNumId w:val="0"/>
  </w:num>
  <w:num w:numId="11">
    <w:abstractNumId w:val="2"/>
  </w:num>
  <w:num w:numId="12">
    <w:abstractNumId w:val="0"/>
  </w:num>
  <w:num w:numId="13">
    <w:abstractNumId w:val="0"/>
  </w:num>
  <w:num w:numId="14">
    <w:abstractNumId w:val="3"/>
  </w:num>
  <w:num w:numId="15">
    <w:abstractNumId w:val="4"/>
  </w:num>
  <w:num w:numId="16">
    <w:abstractNumId w:val="5"/>
  </w:num>
  <w:num w:numId="17">
    <w:abstractNumId w:val="6"/>
  </w:num>
  <w:num w:numId="18">
    <w:abstractNumId w:val="0"/>
  </w:num>
  <w:num w:numId="19">
    <w:abstractNumId w:val="7"/>
  </w:num>
  <w:num w:numId="20">
    <w:abstractNumId w:val="8"/>
  </w:num>
  <w:num w:numId="21">
    <w:abstractNumId w:val="9"/>
  </w:num>
  <w:num w:numId="22">
    <w:abstractNumId w:val="0"/>
  </w:num>
  <w:num w:numId="23">
    <w:abstractNumId w:val="10"/>
  </w:num>
  <w:num w:numId="24">
    <w:abstractNumId w:val="11"/>
  </w:num>
  <w:num w:numId="25">
    <w:abstractNumId w:val="12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enterprise/4.0/ui/dashboard-intro" TargetMode="External" Type="http://schemas.openxmlformats.org/officeDocument/2006/relationships/hyperlink"/><Relationship Id="rId11" Target="https://docs.logpresso.com/ko/enterprise/4.0/ui/dashboard-intro" TargetMode="External" Type="http://schemas.openxmlformats.org/officeDocument/2006/relationships/hyperlink"/><Relationship Id="rId12" Target="media/image1.png" Type="http://schemas.openxmlformats.org/officeDocument/2006/relationships/image"/><Relationship Id="rId13" Target="media/image2.png" Type="http://schemas.openxmlformats.org/officeDocument/2006/relationships/image"/><Relationship Id="rId14" Target="https://docs.logpresso.com/ko/enterprise/4.0/ui/dashboard-intro" TargetMode="External" Type="http://schemas.openxmlformats.org/officeDocument/2006/relationships/hyperlink"/><Relationship Id="rId15" Target="media/image3.png" Type="http://schemas.openxmlformats.org/officeDocument/2006/relationships/image"/><Relationship Id="rId16" Target="media/image4.png" Type="http://schemas.openxmlformats.org/officeDocument/2006/relationships/image"/><Relationship Id="rId17" Target="media/image5.png" Type="http://schemas.openxmlformats.org/officeDocument/2006/relationships/image"/><Relationship Id="rId18" Target="media/image6.png" Type="http://schemas.openxmlformats.org/officeDocument/2006/relationships/image"/><Relationship Id="rId19" Target="https://docs.logpresso.com/ko/enterprise/4.0/ui/starter-apps" TargetMode="External" Type="http://schemas.openxmlformats.org/officeDocument/2006/relationships/hyperlink"/><Relationship Id="rId2" Target="numbering.xml" Type="http://schemas.openxmlformats.org/officeDocument/2006/relationships/numbering"/><Relationship Id="rId20" Target="https://docs.logpresso.com/ko/enterprise/4.0/ui/dashboard-intro" TargetMode="External" Type="http://schemas.openxmlformats.org/officeDocument/2006/relationships/hyperlink"/><Relationship Id="rId21" Target="media/image7.png" Type="http://schemas.openxmlformats.org/officeDocument/2006/relationships/image"/><Relationship Id="rId22" Target="media/image8.png" Type="http://schemas.openxmlformats.org/officeDocument/2006/relationships/image"/><Relationship Id="rId23" Target="https://docs.logpresso.com/ko/enterprise/4.0/ui/dashboard-intro" TargetMode="External" Type="http://schemas.openxmlformats.org/officeDocument/2006/relationships/hyperlink"/><Relationship Id="rId24" Target="media/image9.png" Type="http://schemas.openxmlformats.org/officeDocument/2006/relationships/image"/><Relationship Id="rId25" Target="media/image10.png" Type="http://schemas.openxmlformats.org/officeDocument/2006/relationships/image"/><Relationship Id="rId26" Target="https://docs.logpresso.com/ko/enterprise/4.0/ui/api-key-profile" TargetMode="External" Type="http://schemas.openxmlformats.org/officeDocument/2006/relationships/hyperlink"/><Relationship Id="rId27" Target="https://docs.logpresso.com/ko/enterprise/4.0/ui/dashboard-usage" TargetMode="External" Type="http://schemas.openxmlformats.org/officeDocument/2006/relationships/hyperlink"/><Relationship Id="rId28" Target="https://docs.logpresso.com/ko/enterprise/4.0/ui/dashboard-usage" TargetMode="External" Type="http://schemas.openxmlformats.org/officeDocument/2006/relationships/hyperlink"/><Relationship Id="rId29" Target="https://docs.logpresso.com/ko/enterprise/4.0/ui/dashboard-intro" TargetMode="External" Type="http://schemas.openxmlformats.org/officeDocument/2006/relationships/hyperlink"/><Relationship Id="rId3" Target="styles.xml" Type="http://schemas.openxmlformats.org/officeDocument/2006/relationships/styles"/><Relationship Id="rId30" Target="https://logpresso.store/ko/apps/apache-httpd" TargetMode="External" Type="http://schemas.openxmlformats.org/officeDocument/2006/relationships/hyperlink"/><Relationship Id="rId31" Target="media/image11.png" Type="http://schemas.openxmlformats.org/officeDocument/2006/relationships/image"/><Relationship Id="rId32" Target="media/image12.png" Type="http://schemas.openxmlformats.org/officeDocument/2006/relationships/image"/><Relationship Id="rId33" Target="media/image13.png" Type="http://schemas.openxmlformats.org/officeDocument/2006/relationships/image"/><Relationship Id="rId34" Target="media/image14.png" Type="http://schemas.openxmlformats.org/officeDocument/2006/relationships/image"/><Relationship Id="rId35" Target="media/image15.png" Type="http://schemas.openxmlformats.org/officeDocument/2006/relationships/image"/><Relationship Id="rId36" Target="media/image16.png" Type="http://schemas.openxmlformats.org/officeDocument/2006/relationships/image"/><Relationship Id="rId37" Target="media/image17.png" Type="http://schemas.openxmlformats.org/officeDocument/2006/relationships/image"/><Relationship Id="rId38" Target="media/image18.png" Type="http://schemas.openxmlformats.org/officeDocument/2006/relationships/image"/><Relationship Id="rId39" Target="media/image19.png" Type="http://schemas.openxmlformats.org/officeDocument/2006/relationships/image"/><Relationship Id="rId4" Target="settings.xml" Type="http://schemas.openxmlformats.org/officeDocument/2006/relationships/settings"/><Relationship Id="rId40" Target="media/image20.png" Type="http://schemas.openxmlformats.org/officeDocument/2006/relationships/image"/><Relationship Id="rId41" Target="media/image21.png" Type="http://schemas.openxmlformats.org/officeDocument/2006/relationships/image"/><Relationship Id="rId42" Target="media/image22.png" Type="http://schemas.openxmlformats.org/officeDocument/2006/relationships/image"/><Relationship Id="rId43" Target="media/image23.png" Type="http://schemas.openxmlformats.org/officeDocument/2006/relationships/image"/><Relationship Id="rId44" Target="https://docs.logpresso.com/ko/enterprise/4.0/ui/dashboard-intro" TargetMode="External" Type="http://schemas.openxmlformats.org/officeDocument/2006/relationships/hyperlink"/><Relationship Id="rId45" Target="media/image24.png" Type="http://schemas.openxmlformats.org/officeDocument/2006/relationships/image"/><Relationship Id="rId46" Target="https://docs.logpresso.com/ko/enterprise/4.0/ui/dashboard-intro" TargetMode="External" Type="http://schemas.openxmlformats.org/officeDocument/2006/relationships/hyperlink"/><Relationship Id="rId47" Target="media/image25.png" Type="http://schemas.openxmlformats.org/officeDocument/2006/relationships/image"/><Relationship Id="rId48" Target="https://docs.logpresso.com/ko/enterprise/4.0/ui/dashboard-intro" TargetMode="External" Type="http://schemas.openxmlformats.org/officeDocument/2006/relationships/hyperlink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