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유형</w:t>
      </w:r>
    </w:p>
    <w:p>
      <w:r>
        <w:t>이벤트로는 클릭, 드래그, 필드값의 임계치 비교가 있습니다.</w:t>
      </w:r>
    </w:p>
    <w:p>
      <w:r>
        <w:rPr>
          <w:b w:val="on"/>
        </w:rPr>
        <w:t>클릭</w:t>
      </w:r>
    </w:p>
    <w:p>
      <w:pPr>
        <w:ind w:left="400"/>
      </w:pPr>
      <w:r>
        <w:t>사용자가 위젯에 있는 데이터의 표현 요소를 클릭할 때 이벤트 동작을 정의할 수 있습니다.</w:t>
      </w:r>
    </w:p>
    <w:p>
      <w:r>
        <w:rPr>
          <w:b w:val="on"/>
        </w:rPr>
        <w:t>드래그</w:t>
      </w:r>
    </w:p>
    <w:p>
      <w:pPr>
        <w:ind w:left="400"/>
      </w:pPr>
      <w:r>
        <w:t>사용자가 차트 위젯에서 데이터의 특정한 구간을 드래그할 때 이벤트 동작을 정의할 수 있습니다.</w:t>
      </w:r>
    </w:p>
    <w:p>
      <w:r>
        <w:rPr>
          <w:b w:val="on"/>
        </w:rPr>
        <w:t>필드값의 임계치 비교</w:t>
      </w:r>
    </w:p>
    <w:p>
      <w:pPr>
        <w:ind w:left="400"/>
      </w:pPr>
      <w:r>
        <w:t>그리드 위젯 또는 경고상자 위젯에서 특정 필드의 값을 임계치와 비교하는 조건식의 결과가 참(</w:t>
      </w:r>
      <w:r>
        <w:rPr>
          <w:rStyle w:val="af4"/>
        </w:rPr>
        <w:t>true</w:t>
      </w:r>
      <w:r>
        <w:t>)일 때 이벤트 동작을 정의할 수 있습니다.</w:t>
      </w:r>
    </w:p>
    <w:p>
      <w:pPr>
        <w:pStyle w:val="a7"/>
      </w:pPr>
      <w:r>
        <w:t>이벤트별 동작</w:t>
      </w:r>
    </w:p>
    <w:p>
      <w:r>
        <w:t>이벤트의 유형에 따라 정의할 수 있는 동작은 다음 표와 같습니다. 특히 드래그 이벤트의 동작은 종속 변수의 필드 유형에 따라 지정할 수 있는 동작에 차이가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동작</w:t>
            </w:r>
          </w:p>
        </w:tc>
      </w:tr>
      <w:tr>
        <w:tc>
          <w:p>
            <w:pPr>
              <w:spacing w:before="0" w:after="0"/>
            </w:pPr>
            <w:r>
              <w:t>클릭</w:t>
            </w:r>
          </w:p>
        </w:tc>
        <w:tc>
          <w:p>
            <w:pPr>
              <w:spacing w:before="0" w:after="0"/>
            </w:pPr>
            <w:r>
              <w:t>쿼리 실행, 백그라운드 쿼리 실행(그리드 위젯), 필터링, 브라우저 실행</w:t>
            </w:r>
          </w:p>
        </w:tc>
      </w:tr>
      <w:tr>
        <w:tc>
          <w:p>
            <w:pPr>
              <w:spacing w:before="0" w:after="0"/>
            </w:pPr>
            <w:r>
              <w:t>드래그</w:t>
            </w:r>
          </w:p>
        </w:tc>
        <w:tc>
          <w:p>
            <w:pPr>
              <w:spacing w:before="0" w:after="0"/>
            </w:pPr>
            <w:r>
              <w:t>(종속 변수 필드값이 시간일 때) 쿼리 실행, 필터링 / (종속 변수 필드값이 시간이 아닐 때) 줌인/줌아웃</w:t>
            </w:r>
          </w:p>
        </w:tc>
      </w:tr>
      <w:tr>
        <w:tc>
          <w:p>
            <w:pPr>
              <w:spacing w:before="0" w:after="0"/>
            </w:pPr>
            <w:r>
              <w:t>필드값의 임계치 비교</w:t>
            </w:r>
          </w:p>
        </w:tc>
        <w:tc>
          <w:p>
            <w:pPr>
              <w:spacing w:before="0" w:after="0"/>
            </w:pPr>
            <w:r>
              <w:t>경보음, 알림 메시지</w:t>
            </w:r>
          </w:p>
        </w:tc>
      </w:tr>
    </w:tbl>
    <w:p>
      <w:pPr>
        <w:pStyle w:val="a7"/>
      </w:pPr>
      <w:r>
        <w:t>이벤트를 사용할 수 있는 위젯</w:t>
      </w:r>
    </w:p>
    <w:p>
      <w:r>
        <w:t>위젯에 따라 다룰 수 있는 이벤트에 차이가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위젯</w:t>
            </w:r>
          </w:p>
        </w:tc>
      </w:tr>
      <w:tr>
        <w:tc>
          <w:p>
            <w:pPr>
              <w:spacing w:before="0" w:after="0"/>
            </w:pPr>
            <w:r>
              <w:t>클릭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모든 차트</w:t>
              </w:r>
            </w:hyperlink>
            <w:r>
              <w:t xml:space="preserve">, </w:t>
            </w:r>
            <w:hyperlink r:id="rId11">
              <w:r>
                <w:rPr>
                  <w:rStyle w:val="a6"/>
                </w:rPr>
                <w:t>그리드</w:t>
              </w:r>
            </w:hyperlink>
            <w:r>
              <w:t xml:space="preserve"> ,</w:t>
            </w:r>
            <w:hyperlink r:id="rId12">
              <w:r>
                <w:rPr>
                  <w:rStyle w:val="a6"/>
                </w:rPr>
                <w:t>3D 네트워크 그래프</w:t>
              </w:r>
            </w:hyperlink>
            <w:r>
              <w:t xml:space="preserve">, </w:t>
            </w:r>
            <w:hyperlink r:id="rId13">
              <w:r>
                <w:rPr>
                  <w:rStyle w:val="a6"/>
                </w:rPr>
                <w:t>3D 지구본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드래그</w:t>
            </w:r>
          </w:p>
        </w:tc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(누적)</w:t>
              </w:r>
            </w:hyperlink>
            <w:r>
              <w:t xml:space="preserve"> </w:t>
            </w:r>
            <w:hyperlink r:id="rId15">
              <w:r>
                <w:rPr>
                  <w:rStyle w:val="a6"/>
                </w:rPr>
                <w:t>가로 막대 차트</w:t>
              </w:r>
            </w:hyperlink>
            <w:r>
              <w:t xml:space="preserve">, </w:t>
            </w:r>
            <w:hyperlink r:id="rId16">
              <w:r>
                <w:rPr>
                  <w:rStyle w:val="a6"/>
                </w:rPr>
                <w:t>(누적)</w:t>
              </w:r>
            </w:hyperlink>
            <w:r>
              <w:t xml:space="preserve"> </w:t>
            </w:r>
            <w:hyperlink r:id="rId17">
              <w:r>
                <w:rPr>
                  <w:rStyle w:val="a6"/>
                </w:rPr>
                <w:t>세로 막대 차트</w:t>
              </w:r>
            </w:hyperlink>
            <w:r>
              <w:t xml:space="preserve">, </w:t>
            </w:r>
            <w:hyperlink r:id="rId18">
              <w:r>
                <w:rPr>
                  <w:rStyle w:val="a6"/>
                </w:rPr>
                <w:t>라인 차트</w:t>
              </w:r>
            </w:hyperlink>
            <w:r>
              <w:t xml:space="preserve">, </w:t>
            </w:r>
            <w:hyperlink r:id="rId19">
              <w:r>
                <w:rPr>
                  <w:rStyle w:val="a6"/>
                </w:rPr>
                <w:t>산포도 차트</w:t>
              </w:r>
            </w:hyperlink>
            <w:r>
              <w:t xml:space="preserve">, </w:t>
            </w:r>
            <w:hyperlink r:id="rId20">
              <w:r>
                <w:rPr>
                  <w:rStyle w:val="a6"/>
                </w:rPr>
                <w:t>버블 차트</w:t>
              </w:r>
            </w:hyperlink>
            <w:r>
              <w:t xml:space="preserve">, </w:t>
            </w:r>
            <w:hyperlink r:id="rId21">
              <w:r>
                <w:rPr>
                  <w:rStyle w:val="a6"/>
                </w:rPr>
                <w:t>박스 플롯 차트</w:t>
              </w:r>
            </w:hyperlink>
            <w:r>
              <w:t xml:space="preserve">, </w:t>
            </w:r>
            <w:hyperlink r:id="rId22">
              <w:r>
                <w:rPr>
                  <w:rStyle w:val="a6"/>
                </w:rPr>
                <w:t>(누적)</w:t>
              </w:r>
            </w:hyperlink>
            <w:r>
              <w:t xml:space="preserve"> </w:t>
            </w:r>
            <w:hyperlink r:id="rId23">
              <w:r>
                <w:rPr>
                  <w:rStyle w:val="a6"/>
                </w:rPr>
                <w:t>영역 차트</w:t>
              </w:r>
            </w:hyperlink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필드값의 임계치 비교</w:t>
            </w:r>
          </w:p>
        </w:tc>
        <w:tc>
          <w:p>
            <w:pPr>
              <w:spacing w:before="0" w:after="0"/>
            </w:pPr>
            <w:hyperlink r:id="rId24">
              <w:r>
                <w:rPr>
                  <w:rStyle w:val="a6"/>
                </w:rPr>
                <w:t>그리드</w:t>
              </w:r>
            </w:hyperlink>
            <w:r>
              <w:t xml:space="preserve">, </w:t>
            </w:r>
            <w:hyperlink r:id="rId25">
              <w:r>
                <w:rPr>
                  <w:rStyle w:val="a6"/>
                </w:rPr>
                <w:t>경고 상자</w:t>
              </w:r>
            </w:hyperlink>
            <w:r>
              <w:t/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data-widget-charts" TargetMode="External" Type="http://schemas.openxmlformats.org/officeDocument/2006/relationships/hyperlink"/><Relationship Id="rId11" Target="https://docs.logpresso.com/ko/enterprise/4.0/ui/data-widget-grid" TargetMode="External" Type="http://schemas.openxmlformats.org/officeDocument/2006/relationships/hyperlink"/><Relationship Id="rId12" Target="https://docs.logpresso.com/ko/enterprise/4.0/ui/data-widget-3d-link-graph" TargetMode="External" Type="http://schemas.openxmlformats.org/officeDocument/2006/relationships/hyperlink"/><Relationship Id="rId13" Target="https://docs.logpresso.com/ko/enterprise/4.0/ui/data-widget-3d-globe" TargetMode="External" Type="http://schemas.openxmlformats.org/officeDocument/2006/relationships/hyperlink"/><Relationship Id="rId14" Target="https://docs.logpresso.com/ko/enterprise/4.0/ui/chart-bar-horizontal-acc" TargetMode="External" Type="http://schemas.openxmlformats.org/officeDocument/2006/relationships/hyperlink"/><Relationship Id="rId15" Target="https://docs.logpresso.com/ko/enterprise/4.0/ui/chart-bar-horizontal" TargetMode="External" Type="http://schemas.openxmlformats.org/officeDocument/2006/relationships/hyperlink"/><Relationship Id="rId16" Target="https://docs.logpresso.com/ko/enterprise/4.0/ui/chart-bar-vertical-acc" TargetMode="External" Type="http://schemas.openxmlformats.org/officeDocument/2006/relationships/hyperlink"/><Relationship Id="rId17" Target="https://docs.logpresso.com/ko/enterprise/4.0/ui/chart-bar-vertical" TargetMode="External" Type="http://schemas.openxmlformats.org/officeDocument/2006/relationships/hyperlink"/><Relationship Id="rId18" Target="https://docs.logpresso.com/ko/enterprise/4.0/ui/chart-line" TargetMode="External" Type="http://schemas.openxmlformats.org/officeDocument/2006/relationships/hyperlink"/><Relationship Id="rId19" Target="https://docs.logpresso.com/ko/enterprise/4.0/ui/chart-scatter-plot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/ko/enterprise/4.0/ui/chart-bubble" TargetMode="External" Type="http://schemas.openxmlformats.org/officeDocument/2006/relationships/hyperlink"/><Relationship Id="rId21" Target="https://docs.logpresso.com/ko/enterprise/4.0/ui/chart-boxplot" TargetMode="External" Type="http://schemas.openxmlformats.org/officeDocument/2006/relationships/hyperlink"/><Relationship Id="rId22" Target="https://docs.logpresso.com/ko/enterprise/4.0/ui/chart-area-acc" TargetMode="External" Type="http://schemas.openxmlformats.org/officeDocument/2006/relationships/hyperlink"/><Relationship Id="rId23" Target="https://docs.logpresso.com/ko/enterprise/4.0/ui/chart-area" TargetMode="External" Type="http://schemas.openxmlformats.org/officeDocument/2006/relationships/hyperlink"/><Relationship Id="rId24" Target="https://docs.logpresso.com/ko/enterprise/4.0/ui/data-widget-grid" TargetMode="External" Type="http://schemas.openxmlformats.org/officeDocument/2006/relationships/hyperlink"/><Relationship Id="rId25" Target="https://docs.logpresso.com/ko/enterprise/4.0/ui/data-widget-alert-box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