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인덱스 관리</w:t>
      </w:r>
    </w:p>
    <w:p>
      <w:r>
        <w:t>인덱스는 테이블에 저장된 데이터를 빠르게 검색하거나 필요한 데이터를 추출하는데 사용됩니다. 로그프레소 플랫폼이 제공하는 인덱스는 블룸 필터와 역인덱스의 조합으로 구성되고, 하나의 테이블에 여러 개의 인덱스를 적용할 수 있습니다.</w:t>
      </w:r>
    </w:p>
    <w:p>
      <w:pPr>
        <w:pStyle w:val="4"/>
      </w:pPr>
      <w:r>
        <w:t>인덱스 생성</w:t>
      </w:r>
    </w:p>
    <w:p>
      <w:r>
        <w:t>인덱스를 생성하는 방법은 다음과 같습니다.</w:t>
      </w:r>
    </w:p>
    <w:p>
      <w:r>
        <w:t>테이블 트리에서 인덱스를 생성할 테이블을 선택합니다.</w:t>
      </w:r>
    </w:p>
    <w:p>
      <w:r>
        <w:rPr>
          <w:b w:val="on"/>
        </w:rPr>
        <w:t>인덱스</w:t>
      </w:r>
      <w:r>
        <w:t xml:space="preserve"> 탭 패널에서 도구 모음에 있는 </w:t>
      </w:r>
      <w:r>
        <w:rPr>
          <w:b w:val="on"/>
        </w:rPr>
        <w:t>새 인덱스 만들기</w:t>
      </w:r>
      <w:r>
        <w:t>를 누릅니다.</w:t>
      </w:r>
    </w:p>
    <w:p>
      <w:r>
        <w:drawing>
          <wp:inline distT="0" distR="0" distB="0" distL="0">
            <wp:extent cx="5715000" cy="3657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새 인덱스 만들기</w:t>
      </w:r>
      <w:r>
        <w:t xml:space="preserve"> 창에서 </w:t>
      </w:r>
      <w:r>
        <w:rPr>
          <w:b w:val="on"/>
        </w:rPr>
        <w:t>인덱스 이름</w:t>
      </w:r>
      <w:r>
        <w:t xml:space="preserve">을 입력하고, </w:t>
      </w:r>
      <w:r>
        <w:rPr>
          <w:b w:val="on"/>
        </w:rPr>
        <w:t>토크나이저</w:t>
      </w:r>
      <w:r>
        <w:t xml:space="preserve">를 선택한 후 </w:t>
      </w:r>
      <w:r>
        <w:rPr>
          <w:b w:val="on"/>
        </w:rPr>
        <w:t>다음</w:t>
      </w:r>
      <w:r>
        <w:t>을 선택합니다.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인덱스 이름</w:t>
      </w:r>
      <w:r>
        <w:t>에 사용할 수 있는 문자는 영어, 숫자, 밑줄(</w:t>
      </w:r>
      <w:r>
        <w:rPr>
          <w:rStyle w:val="af4"/>
        </w:rPr>
        <w:t>_</w:t>
      </w:r>
      <w:r>
        <w:t>)입니다.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토크나이저</w:t>
      </w:r>
      <w:r>
        <w:t>는 다음 중에서 선택합니다(기본값: 쿼리 기반 필드 추출).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[쿼리 기반 필드 추출](index-management#outline3)</w:t>
      </w:r>
      <w:r>
        <w:t>: 원본 데이터에서 쿼리를 이용해 필드 인덱스 토큰을 추출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[구분자 및 IP](index-management#outline4)</w:t>
      </w:r>
      <w:r>
        <w:t>: 구분자를 이용해 풀텍스트 토큰을 추출하고, 추가로 IPv4 주소 형식의 토큰을 추출</w:t>
      </w:r>
    </w:p>
    <w:p>
      <w:pPr>
        <w:pStyle w:val="af1"/>
      </w:pPr>
      <w:r>
        <w:t>토크나이저는 원본 로그를 풀텍스트 인덱싱할 때 사용될 풀텍스트 토큰을 만드는 역할을 수행합니다.</w:t>
      </w:r>
    </w:p>
    <w:p>
      <w:r>
        <w:t xml:space="preserve">인덱스 구성에 필요한 내용과 토크나이서 속성을 입력하고 </w:t>
      </w:r>
      <w:r>
        <w:rPr>
          <w:b w:val="on"/>
        </w:rPr>
        <w:t>완료</w:t>
      </w:r>
      <w:r>
        <w:t>를 누릅니다.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블룸필터 사용 여부</w:t>
      </w:r>
      <w:r>
        <w:t xml:space="preserve">: 블룸 필터 사용 여부(기본값: </w:t>
      </w:r>
      <w:r>
        <w:rPr>
          <w:b w:val="on"/>
        </w:rPr>
        <w:t>사용</w:t>
      </w:r>
      <w:r>
        <w:t>). 디스크 공간을 추가로 소모하지만 검색 성능을 높일 수 있습니다.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데이터 위치</w:t>
      </w:r>
      <w:r>
        <w:t xml:space="preserve">: 인덱스 데이터를 저장할 루트 디렉터리 경로. 지정하지 않으면 로그프레소 환경 변수 </w:t>
      </w:r>
      <w:r>
        <w:rPr>
          <w:rStyle w:val="af4"/>
        </w:rPr>
        <w:t>araqne.data.dir</w:t>
      </w:r>
      <w:r>
        <w:t xml:space="preserve">으로 지정한 디렉터리 아래에 있는 </w:t>
      </w:r>
      <w:r>
        <w:rPr>
          <w:rStyle w:val="af4"/>
        </w:rPr>
        <w:t>araqne-logstorage/index</w:t>
      </w:r>
      <w:r>
        <w:t>에 저장됩니다.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기존 데이터에 대한 인덱스 빌드 여부</w:t>
      </w:r>
      <w:r>
        <w:t xml:space="preserve">: 테이블에 저장된 기존 데이터에 대해 인덱스를 생성할 지 여부를 선택(기본값: </w:t>
      </w:r>
      <w:r>
        <w:rPr>
          <w:b w:val="on"/>
        </w:rPr>
        <w:t>미사용</w:t>
      </w:r>
      <w:r>
        <w:t>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인덱싱 시작 날짜</w:t>
      </w:r>
      <w:r>
        <w:t xml:space="preserve">: </w:t>
      </w:r>
      <w:r>
        <w:rPr>
          <w:b w:val="on"/>
        </w:rPr>
        <w:t>기존 데이터에 대한 인덱스 빌드 여부</w:t>
      </w:r>
      <w:r>
        <w:t xml:space="preserve">를 </w:t>
      </w:r>
      <w:r>
        <w:rPr>
          <w:b w:val="on"/>
        </w:rPr>
        <w:t>사용</w:t>
      </w:r>
      <w:r>
        <w:t>으로 설정하면 나타나는 옵션입니다. 인덱싱을 시작할 기간을 입력합니다. 입력하지 않으면 전체 데이터에 대해 인덱싱합니다. 미래의 날짜를 지정하면 해당 날짜 이전에 발생한 데이터에 대해서는 인덱싱을 수행하지 않습니다.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토크나이저 설정</w:t>
      </w:r>
      <w:r>
        <w:t>: 토크나이저의 종류(</w:t>
      </w:r>
      <w:hyperlink r:id="rId11">
        <w:r>
          <w:rPr>
            <w:rStyle w:val="a6"/>
          </w:rPr>
          <w:t>쿼리 기반 필드 추출</w:t>
        </w:r>
      </w:hyperlink>
      <w:r>
        <w:t xml:space="preserve">, </w:t>
      </w:r>
      <w:hyperlink r:id="rId12">
        <w:r>
          <w:rPr>
            <w:rStyle w:val="a6"/>
          </w:rPr>
          <w:t>구분자 및 IP</w:t>
        </w:r>
      </w:hyperlink>
      <w:r>
        <w:t>)에 따라 각각 다른 속성을 입력합니다.</w:t>
      </w:r>
    </w:p>
    <w:p>
      <w:r>
        <w:t>인덱스 생성 완료 화면에서 생성된 결과를 확인합니다.</w:t>
      </w:r>
    </w:p>
    <w:p>
      <w:pPr>
        <w:pStyle w:val="a7"/>
      </w:pPr>
      <w:r>
        <w:t>쿼리 기반 필드 추출 토크나이저</w:t>
      </w:r>
    </w:p>
    <w:p>
      <w:r>
        <w:t>인덱스에 쿼리 기반 필드 추출 토크나이저를 설정할 때 지정해야할 속성은 다음과 같습니다.</w:t>
      </w:r>
    </w:p>
    <w:p>
      <w:r>
        <w:drawing>
          <wp:inline distT="0" distR="0" distB="0" distL="0">
            <wp:extent cx="5715000" cy="7912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인덱스 토큰 추출 쿼리</w:t>
      </w:r>
      <w:r>
        <w:t>: 인덱스 토큰 추출에 사용할 쿼리를 입력. 이 쿼리는 테이블에 저장된 데이터를 입력으로 받아서 처리합니다.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토크나이징 제외 대상 필드</w:t>
      </w:r>
      <w:r>
        <w:t>: 인덱스를 생성하지 않을 필드 목록을 쉼표(</w:t>
      </w:r>
      <w:r>
        <w:rPr>
          <w:rStyle w:val="af4"/>
        </w:rPr>
        <w:t>,</w:t>
      </w:r>
      <w:r>
        <w:t>)로 구분하여 입력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익명화 필드 목록</w:t>
      </w:r>
      <w:r>
        <w:t>: 풀텍스트 검색을 실행할 때 필드 이름을 지정하지 않아도 검색할 필드 목록을 쉼표(</w:t>
      </w:r>
      <w:r>
        <w:rPr>
          <w:rStyle w:val="af4"/>
        </w:rPr>
        <w:t>,</w:t>
      </w:r>
      <w:r>
        <w:t>)로 구분하여 입력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구분자</w:t>
      </w:r>
      <w:r>
        <w:t>: 인덱스 토큰을 추출할 때 구분자로 사용할 문자 목록. 지정하지 않으면 모든 ASCII 특수 문자를 구분자로 인식합니다.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프리픽스 구분자</w:t>
      </w:r>
      <w:r>
        <w:t>: 프리픽스 구분자 문자 목록. 가령 마침표(</w:t>
      </w:r>
      <w:r>
        <w:rPr>
          <w:rStyle w:val="af4"/>
        </w:rPr>
        <w:t>.</w:t>
      </w:r>
      <w:r>
        <w:t>)를 프리픽스 구분자로 지정할 경우, 필드 값 "1.2.3.4"에서 생성되는 인덱스 토큰은 '</w:t>
      </w:r>
      <w:r>
        <w:rPr>
          <w:rStyle w:val="af4"/>
        </w:rPr>
        <w:t>1</w:t>
      </w:r>
      <w:r>
        <w:t>', '</w:t>
      </w:r>
      <w:r>
        <w:rPr>
          <w:rStyle w:val="af4"/>
        </w:rPr>
        <w:t>2</w:t>
      </w:r>
      <w:r>
        <w:t>', '</w:t>
      </w:r>
      <w:r>
        <w:rPr>
          <w:rStyle w:val="af4"/>
        </w:rPr>
        <w:t>3</w:t>
      </w:r>
      <w:r>
        <w:t>', '</w:t>
      </w:r>
      <w:r>
        <w:rPr>
          <w:rStyle w:val="af4"/>
        </w:rPr>
        <w:t>4</w:t>
      </w:r>
      <w:r>
        <w:t>', '</w:t>
      </w:r>
      <w:r>
        <w:rPr>
          <w:rStyle w:val="af4"/>
        </w:rPr>
        <w:t>1.</w:t>
      </w:r>
      <w:r>
        <w:t>', '</w:t>
      </w:r>
      <w:r>
        <w:rPr>
          <w:rStyle w:val="af4"/>
        </w:rPr>
        <w:t>1.2.</w:t>
      </w:r>
      <w:r>
        <w:t>', '</w:t>
      </w:r>
      <w:r>
        <w:rPr>
          <w:rStyle w:val="af4"/>
        </w:rPr>
        <w:t>1.2.3.</w:t>
      </w:r>
      <w:r>
        <w:t>', '</w:t>
      </w:r>
      <w:r>
        <w:rPr>
          <w:rStyle w:val="af4"/>
        </w:rPr>
        <w:t>1.2.3.4</w:t>
      </w:r>
      <w:r>
        <w:t>'입니다.</w:t>
      </w:r>
    </w:p>
    <w:p>
      <w:pPr>
        <w:pStyle w:val="a7"/>
      </w:pPr>
      <w:r>
        <w:t>구분자 및 IP 토크나이저</w:t>
      </w:r>
    </w:p>
    <w:p>
      <w:r>
        <w:t>인덱스에 구분자 및 IP 토크나이저를 설정할 때 지정해야할 속성은 다음과 같습니다.</w:t>
      </w:r>
    </w:p>
    <w:p>
      <w:r>
        <w:drawing>
          <wp:inline distT="0" distR="0" distB="0" distL="0">
            <wp:extent cx="5715000" cy="7188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구분자</w:t>
      </w:r>
      <w:r>
        <w:t>: 인덱스 토큰을 추출할 때 구분자로 사용할 문자 목록. 지정하지 않으면 모든 ASCII 특수 문자를 구분자로 인식합니다.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대상 필드 목록</w:t>
      </w:r>
      <w:r>
        <w:t>: 토큰을 추출할 대상 필드 목록을 쉼표(</w:t>
      </w:r>
      <w:r>
        <w:rPr>
          <w:rStyle w:val="af4"/>
        </w:rPr>
        <w:t>,</w:t>
      </w:r>
      <w:r>
        <w:t>)로 구분하여 입력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B클래스 토큰 추가</w:t>
      </w:r>
      <w:r>
        <w:t xml:space="preserve">: B 클래스 단위 토큰의 생성 여부를 나타내는 불리언 값(기본값: </w:t>
      </w:r>
      <w:r>
        <w:rPr>
          <w:rStyle w:val="af4"/>
        </w:rPr>
        <w:t>false</w:t>
      </w:r>
      <w:r>
        <w:t>)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C클래스 토큰 추가</w:t>
      </w:r>
      <w:r>
        <w:t xml:space="preserve">: C 클래스 단위 토큰의 생성 여부를 나타내는 불리언 값(기본값: </w:t>
      </w:r>
      <w:r>
        <w:rPr>
          <w:rStyle w:val="af4"/>
        </w:rPr>
        <w:t>false</w:t>
      </w:r>
      <w:r>
        <w:t>)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IP 타입 토큰 추가</w:t>
      </w:r>
      <w:r>
        <w:t xml:space="preserve">: IP 주소 타입 토큰의 생성 여부를 나타내는 불리언 값(기본값: </w:t>
      </w:r>
      <w:r>
        <w:rPr>
          <w:rStyle w:val="af4"/>
        </w:rPr>
        <w:t>false</w:t>
      </w:r>
      <w:r>
        <w:t>)</w:t>
      </w:r>
    </w:p>
    <w:p>
      <w:pPr>
        <w:pStyle w:val="4"/>
      </w:pPr>
      <w:r>
        <w:t>인덱스 삭제</w:t>
      </w:r>
    </w:p>
    <w:p>
      <w:r>
        <w:t>테이블에서 인덱스를 삭제하는 방법은 다음과 같습니다.</w:t>
      </w:r>
    </w:p>
    <w:p>
      <w:r>
        <w:t>테이블 트리에서 인덱스를 삭제할 테이블을 선택합니다.</w:t>
      </w:r>
    </w:p>
    <w:p>
      <w:r>
        <w:rPr>
          <w:b w:val="on"/>
        </w:rPr>
        <w:t>인덱스</w:t>
      </w:r>
      <w:r>
        <w:t xml:space="preserve"> 탭 패널에서 도구 모음에 있는 </w:t>
      </w:r>
      <w:r>
        <w:rPr>
          <w:b w:val="on"/>
        </w:rPr>
        <w:t>휴지통</w:t>
      </w:r>
      <w:r>
        <w:t>을 누릅니다.</w:t>
      </w:r>
    </w:p>
    <w:p>
      <w:r>
        <w:rPr>
          <w:b w:val="on"/>
        </w:rPr>
        <w:t>인덱스 삭제</w:t>
      </w:r>
      <w:r>
        <w:t xml:space="preserve"> 창에서 삭제할 인덱스를 확인하고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16764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인덱스 상세 정보</w:t>
      </w:r>
    </w:p>
    <w:p>
      <w:r>
        <w:rPr>
          <w:b w:val="on"/>
        </w:rPr>
        <w:t>인텍스</w:t>
      </w:r>
      <w:r>
        <w:t xml:space="preserve"> 탭 패널에서 인덱스 항목을 누르면 아래 그림과 같이 인덱스 상세 정보 및 토크나이저 설정을 보여줍니다.</w:t>
      </w:r>
    </w:p>
    <w:p>
      <w:r>
        <w:drawing>
          <wp:inline distT="0" distR="0" distB="0" distL="0">
            <wp:extent cx="5715000" cy="21463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토크나이저 설정</w:t>
      </w:r>
      <w:r>
        <w:t xml:space="preserve">에 보이는 키인 </w:t>
      </w:r>
      <w:r>
        <w:rPr>
          <w:b w:val="on"/>
        </w:rPr>
        <w:t>hex_strings</w:t>
      </w:r>
      <w:r>
        <w:t xml:space="preserve">는 </w:t>
      </w:r>
      <w:hyperlink r:id="rId17">
        <w:r>
          <w:rPr>
            <w:rStyle w:val="a6"/>
          </w:rPr>
          <w:t>아파치 웹 서버</w:t>
        </w:r>
      </w:hyperlink>
      <w:r>
        <w:t xml:space="preserve"> 앱이 사용하는 테이블에 사용자가 임의로 추가한 토크나이저입니다.</w:t>
      </w:r>
    </w:p>
    <w:p>
      <w:pPr>
        <w:pStyle w:val="4"/>
      </w:pPr>
      <w:r>
        <w:t>인덱스 대상 기간 변경</w:t>
      </w:r>
    </w:p>
    <w:p>
      <w:r>
        <w:t>현재 입력이 수행중인 테이블에 대해 데이터를 보존하면서 특정 인덱스가 지정한 기간에 대해서만 인덱싱을 수행하도록 지정할 수 있습니다.</w:t>
      </w:r>
    </w:p>
    <w:p>
      <w:r>
        <w:t xml:space="preserve">인덱스 탭 패널에서 인덱스 대상 기간을 변경할 인덱스를 확인하고, 기간을 변경할 인덱스 행에서 </w:t>
      </w:r>
      <w:r>
        <w:rPr>
          <w:b w:val="on"/>
        </w:rPr>
        <w:t>편집</w:t>
      </w:r>
      <w:r>
        <w:t>을 누릅니다.</w:t>
      </w:r>
    </w:p>
    <w:p>
      <w:r>
        <w:drawing>
          <wp:inline distT="0" distR="0" distB="0" distL="0">
            <wp:extent cx="5715000" cy="14351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시작과 끝 항목에 기간을 입력하거나 월력을 사용하여 기간을 선택한 후 </w:t>
      </w:r>
      <w:r>
        <w:rPr>
          <w:b w:val="on"/>
        </w:rPr>
        <w:t>변경</w:t>
      </w:r>
      <w:r>
        <w:t>을 누릅니다.</w:t>
      </w:r>
    </w:p>
    <w:p>
      <w:r>
        <w:drawing>
          <wp:inline distT="0" distR="0" distB="0" distL="0">
            <wp:extent cx="5715000" cy="27432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기간 변경이 정상적으로 적용되었는지 확인합니다.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https://docs.logpresso.com/ko/enterprise/4.0/ui/index-management" TargetMode="External" Type="http://schemas.openxmlformats.org/officeDocument/2006/relationships/hyperlink"/><Relationship Id="rId12" Target="https://docs.logpresso.com/ko/enterprise/4.0/ui/index-management" TargetMode="External" Type="http://schemas.openxmlformats.org/officeDocument/2006/relationships/hyperlink"/><Relationship Id="rId13" Target="media/image2.png" Type="http://schemas.openxmlformats.org/officeDocument/2006/relationships/image"/><Relationship Id="rId14" Target="media/image3.png" Type="http://schemas.openxmlformats.org/officeDocument/2006/relationships/image"/><Relationship Id="rId15" Target="media/image4.png" Type="http://schemas.openxmlformats.org/officeDocument/2006/relationships/image"/><Relationship Id="rId16" Target="media/image5.png" Type="http://schemas.openxmlformats.org/officeDocument/2006/relationships/image"/><Relationship Id="rId17" Target="https://logpresso.store/ko/apps/apache-httpd" TargetMode="External" Type="http://schemas.openxmlformats.org/officeDocument/2006/relationships/hyperlink"/><Relationship Id="rId18" Target="media/image6.png" Type="http://schemas.openxmlformats.org/officeDocument/2006/relationships/image"/><Relationship Id="rId19" Target="media/image7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