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</w:t>
      </w:r>
    </w:p>
    <w:p>
      <w:pPr>
        <w:pStyle w:val="4"/>
      </w:pPr>
      <w:r>
        <w:t>개요</w:t>
      </w:r>
    </w:p>
    <w:p>
      <w:r>
        <w:t xml:space="preserve">룩업(lookup)은 쿼리를 실행하면서 수시로 조회하는 데이터를 관리하는 기능입니다. 예를 들어 임직원 목록, 우편번호, 국가코드와 같은 데이터를 쿼리에서 자주 호출해 사용하는 경우 룩업으로 등록하고 이용할 수 있습니다. 룩업에 사용할 데이터는 CSV 파일 또는 데이터베이스의 테이블에서 가져와 사용합니다. 룩업에 저장된 데이터는 </w:t>
      </w:r>
      <w:hyperlink r:id="rId10">
        <w:r>
          <w:rPr>
            <w:rStyle w:val="a6"/>
          </w:rPr>
          <w:t>lookup</w:t>
        </w:r>
      </w:hyperlink>
      <w:r>
        <w:t xml:space="preserve"> 명령으로 조회할 수 있습니다.</w:t>
      </w:r>
    </w:p>
    <w:p>
      <w:r>
        <w:t xml:space="preserve">룩업과 유사한 기능으로 </w:t>
      </w:r>
      <w:hyperlink r:id="rId11">
        <w:r>
          <w:rPr>
            <w:rStyle w:val="a6"/>
          </w:rPr>
          <w:t>memlookup</w:t>
        </w:r>
      </w:hyperlink>
      <w:r>
        <w:t xml:space="preserve">이 있습니다. </w:t>
      </w:r>
      <w:r>
        <w:rPr>
          <w:rStyle w:val="af4"/>
        </w:rPr>
        <w:t>memlookup</w:t>
      </w:r>
      <w:r>
        <w:t xml:space="preserve"> 쿼리 명령은 룩업과 달리 인-메모리 룩업을 제공합니다. 사용 목적과 방법에 따라 적절한 것을 선택해서 사용하십시오.</w:t>
      </w:r>
    </w:p>
    <w:p>
      <w:pPr>
        <w:pStyle w:val="4"/>
      </w:pPr>
      <w:r>
        <w:t>쿼리에서 룩업 데이터 조회</w:t>
      </w:r>
    </w:p>
    <w:p>
      <w:r>
        <w:t xml:space="preserve">쿼리에서 룩업 데이터를 조회할 때에는 </w:t>
      </w:r>
      <w:hyperlink r:id="rId12">
        <w:r>
          <w:rPr>
            <w:rStyle w:val="a6"/>
          </w:rPr>
          <w:t>lookup</w:t>
        </w:r>
      </w:hyperlink>
      <w:r>
        <w:t xml:space="preserve"> 명령을 사용합니다. 사용 예제는 </w:t>
      </w:r>
      <w:hyperlink r:id="rId13">
        <w:r>
          <w:rPr>
            <w:rStyle w:val="a6"/>
          </w:rPr>
          <w:t>대한민국 지도 위젯 예제</w:t>
        </w:r>
      </w:hyperlink>
      <w:r>
        <w:t>를 참조하십시오. 예제에서 사용하는 룩업은 로그프레소 플랫폼과 함께 배포되는 geoip를 이용합니다.</w:t>
      </w:r>
    </w:p>
    <w:p>
      <w:pPr>
        <w:pStyle w:val="4"/>
      </w:pPr>
      <w:r>
        <w:t>룩업 목록 조회</w:t>
      </w:r>
    </w:p>
    <w:p>
      <w:r>
        <w:t xml:space="preserve">룩업은 </w:t>
      </w:r>
      <w:r>
        <w:rPr>
          <w:b w:val="on"/>
        </w:rPr>
        <w:t>쿼리 &gt; 룩업</w:t>
      </w:r>
      <w:r>
        <w:t>에서 조회할 수 있습니다.</w:t>
      </w:r>
    </w:p>
    <w:p>
      <w:r>
        <w:drawing>
          <wp:inline distT="0" distR="0" distB="0" distL="0">
            <wp:extent cx="5715000" cy="176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트리 메뉴에서 룩업을 선택하면 룩업에 저장된 데이터를 보여줍니다. 데이터 목록은 필드 이름, 길이, 빈 값 허용 여부를 표시합니다. 빈 값 허용을 하지 않는 필드 이름에는 별표(</w:t>
      </w:r>
      <w:r>
        <w:rPr>
          <w:rStyle w:val="af4"/>
        </w:rPr>
        <w:t>*</w:t>
      </w:r>
      <w:r>
        <w:t>)가 붙습니다.</w:t>
      </w:r>
    </w:p>
    <w:p>
      <w:r>
        <w:drawing>
          <wp:inline distT="0" distR="0" distB="0" distL="0">
            <wp:extent cx="5715000" cy="1447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룩업 추가</w:t>
      </w:r>
    </w:p>
    <w:p>
      <w:r>
        <w:t>룩업을 추가하는 방법은 다음과 같습니다.</w:t>
      </w:r>
    </w:p>
    <w:p>
      <w:r>
        <w:t xml:space="preserve">도구 모음에서 </w:t>
      </w:r>
      <w:r>
        <w:rPr>
          <w:b w:val="on"/>
        </w:rPr>
        <w:t>추가</w:t>
      </w:r>
      <w:r>
        <w:t>를 누릅니다.</w:t>
      </w:r>
    </w:p>
    <w:p>
      <w:r>
        <w:t xml:space="preserve">룩업 저장 타입을 선택하고 </w:t>
      </w:r>
      <w:r>
        <w:rPr>
          <w:b w:val="on"/>
        </w:rPr>
        <w:t>다음</w:t>
      </w:r>
      <w:r>
        <w:t>을 누릅니다(기본값: 파일).</w:t>
      </w:r>
    </w:p>
    <w:p>
      <w:r>
        <w:drawing>
          <wp:inline distT="0" distR="0" distB="0" distL="0">
            <wp:extent cx="5715000" cy="2743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 xml:space="preserve">저장 타입이 </w:t>
      </w:r>
      <w:r>
        <w:rPr>
          <w:b w:val="on"/>
        </w:rPr>
        <w:t>데이터베이스</w:t>
      </w:r>
      <w:r>
        <w:t>일 때, 다음 두 가지를 지정합니다.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프로파일</w:t>
      </w:r>
      <w:r>
        <w:t>: 데이터베이스 서버 연결에 필요한 접속 프로파일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테이블</w:t>
      </w:r>
      <w:r>
        <w:t>: 조회 대상 테이블 이름</w:t>
      </w:r>
    </w:p>
    <w:p>
      <w:pPr>
        <w:numPr>
          <w:numId w:val="8"/>
        </w:numPr>
        <w:spacing w:before="0" w:after="0"/>
        <w:ind w:left="720" w:hanging="360"/>
      </w:pPr>
      <w:r>
        <w:drawing>
          <wp:inline distT="0" distR="0" distB="0" distL="0">
            <wp:extent cx="5715000" cy="3886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데이터베이스 룩업을 사용하려면 미리 데이터베이스 접속 프로파일을 설정해두십시오.</w:t>
        <w:cr/>
      </w:r>
      <w:r>
        <w:t xml:space="preserve">    데이터베이스에서 데이터를 가저온 후 룩업은 갱신되지 않습니다.</w:t>
      </w:r>
    </w:p>
    <w:p>
      <w:r>
        <w:t>룩업 스키마를 설정합니다. 룩업으로 사용할 파일/테이블의 스키마와 일치해야 하고, 2개 이상의 필드를 지정해야 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필드 이름</w:t>
      </w:r>
      <w:r>
        <w:t>: 필드의 이름. 영어, 숫자, 밑줄(</w:t>
      </w:r>
      <w:r>
        <w:rPr>
          <w:rStyle w:val="af4"/>
        </w:rPr>
        <w:t>_</w:t>
      </w:r>
      <w:r>
        <w:t>)만 입력할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길이</w:t>
      </w:r>
      <w:r>
        <w:t>: 필드의 길이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 허용</w:t>
      </w:r>
      <w:r>
        <w:t>: 필드 값이 비어있는 것을 허용할 지 여부를 선택합니다. 키 필드(첫 번째 필드)는 빈 값이 허용하지 않습니다.</w:t>
      </w:r>
    </w:p>
    <w:p>
      <w:pPr>
        <w:numPr>
          <w:numId w:val="9"/>
        </w:numPr>
        <w:spacing w:before="0" w:after="0"/>
        <w:ind w:left="360" w:hanging="360"/>
      </w:pPr>
      <w:r>
        <w:drawing>
          <wp:inline distT="0" distR="0" distB="0" distL="0">
            <wp:extent cx="5715000" cy="6235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마지막으로 룩업의 </w:t>
      </w:r>
      <w:r>
        <w:rPr>
          <w:b w:val="on"/>
        </w:rPr>
        <w:t>이름</w:t>
      </w:r>
      <w:r>
        <w:t xml:space="preserve">과 </w:t>
      </w:r>
      <w:r>
        <w:rPr>
          <w:b w:val="on"/>
        </w:rPr>
        <w:t>설명</w:t>
      </w:r>
      <w:r>
        <w:t xml:space="preserve">을 입력하고 </w:t>
      </w:r>
      <w:r>
        <w:rPr>
          <w:b w:val="on"/>
        </w:rPr>
        <w:t>완료</w:t>
      </w:r>
      <w:r>
        <w:t xml:space="preserve">를 누릅니다. </w:t>
      </w:r>
      <w:r>
        <w:rPr>
          <w:b w:val="on"/>
        </w:rPr>
        <w:t>이름</w:t>
      </w:r>
      <w:r>
        <w:t>은 영어, 숫자, 밑줄(</w:t>
      </w:r>
      <w:r>
        <w:rPr>
          <w:rStyle w:val="af4"/>
        </w:rPr>
        <w:t>_</w:t>
      </w:r>
      <w:r>
        <w:t>)만 입력할 수 있습니다.</w:t>
      </w:r>
    </w:p>
    <w:p>
      <w:r>
        <w:drawing>
          <wp:inline distT="0" distR="0" distB="0" distL="0">
            <wp:extent cx="5715000" cy="37592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새 룩업이 목록에 추가된 것을 확인합니다. 데이터베이스 타입인 경우, 데이터베이스에서 룩업을 조회해 가져와 항목이 추가된 것을 확인할 수 있습니다.</w:t>
      </w:r>
    </w:p>
    <w:p>
      <w:r>
        <w:drawing>
          <wp:inline distT="0" distR="0" distB="0" distL="0">
            <wp:extent cx="5715000" cy="1930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룩업 수정</w:t>
      </w:r>
    </w:p>
    <w:p>
      <w:r>
        <w:t>룩업의 이름 및 설명, 스키마 정보를 변경할 수 있습니다. 파일 룩업, 데이터베이스 룩업 모두 동일한 방법으로 수정합니다.</w:t>
      </w:r>
    </w:p>
    <w:p>
      <w:r>
        <w:t xml:space="preserve">수정할 룩업을 선택하고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9906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필요한 항목을 수정하고 </w:t>
      </w:r>
      <w:r>
        <w:rPr>
          <w:b w:val="on"/>
        </w:rPr>
        <w:t>확인</w:t>
      </w:r>
      <w:r>
        <w:t>을 누릅니다.</w:t>
      </w:r>
    </w:p>
    <w:p>
      <w:r>
        <w:drawing>
          <wp:inline distT="0" distR="0" distB="0" distL="0">
            <wp:extent cx="5715000" cy="70739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룩업 데이터 관리</w:t>
      </w:r>
    </w:p>
    <w:p>
      <w:r>
        <w:t>파일 룩업에 데이터를 추가하는 방법은 두 가지입니다.</w:t>
      </w:r>
    </w:p>
    <w:p>
      <w:r>
        <w:t>CSV 파일 업로드</w:t>
      </w:r>
    </w:p>
    <w:p>
      <w:r>
        <w:t>직접 입력/수정</w:t>
      </w:r>
    </w:p>
    <w:p>
      <w:pPr>
        <w:pStyle w:val="a7"/>
      </w:pPr>
      <w:r>
        <w:t>CSV 파일 업로드</w:t>
      </w:r>
    </w:p>
    <w:p>
      <w:r>
        <w:t>대용량의 데이터를 룩업에 추가하려면 직접 입력하는 것보다 CSV 형식으로 데이터를 정리해 업로드하는 것이 좋습니다. 데이터베이스에서 데이터를 가져온 룩업에도 CSV 파일로 데이터를 추가할 수 있습니다.</w:t>
      </w:r>
    </w:p>
    <w:p>
      <w:r>
        <w:t>룩업에 업로드할 CSV 파일은 다음과 같은 조건을 만족해야 합니다.</w:t>
      </w:r>
    </w:p>
    <w:p>
      <w:pPr>
        <w:numPr>
          <w:numId w:val="12"/>
        </w:numPr>
        <w:spacing w:before="0" w:after="0"/>
        <w:ind w:left="360" w:hanging="360"/>
      </w:pPr>
      <w:r>
        <w:t>CSV 파일의 첫행이 룩업 스키마에 정의한 필드와 이름 및 순서가 일치해야 합니다.</w:t>
      </w:r>
    </w:p>
    <w:p>
      <w:pPr>
        <w:numPr>
          <w:numId w:val="12"/>
        </w:numPr>
        <w:spacing w:before="0" w:after="0"/>
        <w:ind w:left="360" w:hanging="360"/>
      </w:pPr>
      <w:r>
        <w:t>CSV 파일의 데이터 행은 필드의 제약 조건(길이, 빈 값 허용 여부)을 준수해야 합니다.</w:t>
      </w:r>
    </w:p>
    <w:p>
      <w:r>
        <w:t>CSV 파일을 이용해 데이터를 룩업에 업로드하는 방법은 다음과 같습니다.</w:t>
      </w:r>
    </w:p>
    <w:p>
      <w:r>
        <w:t>룩업 트리에서 데이터를 업로드할 데이터 룩업을 선택합니다.</w:t>
      </w:r>
    </w:p>
    <w:p>
      <w:r>
        <w:drawing>
          <wp:inline distT="0" distR="0" distB="0" distL="0">
            <wp:extent cx="5715000" cy="14478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도구 모음에서 </w:t>
      </w:r>
      <w:r>
        <w:rPr>
          <w:b w:val="on"/>
        </w:rPr>
        <w:t>업로드</w:t>
      </w:r>
      <w:r>
        <w:t>(</w:t>
      </w:r>
      <w:r>
        <w:drawing>
          <wp:inline distT="0" distR="0" distB="0" distL="0">
            <wp:extent cx="215900" cy="2032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)를 누릅니다.</w:t>
      </w:r>
    </w:p>
    <w:p>
      <w:r>
        <w:drawing>
          <wp:inline distT="0" distR="0" distB="0" distL="0">
            <wp:extent cx="5715000" cy="7620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룩업 데이터 업로드</w:t>
      </w:r>
      <w:r>
        <w:t xml:space="preserve"> 창에서 업로드 할 CSV 파일과 해당 파일의 인코딩을 선택한 다음 </w:t>
      </w:r>
      <w:r>
        <w:rPr>
          <w:b w:val="on"/>
        </w:rPr>
        <w:t>업로드</w:t>
      </w:r>
      <w:r>
        <w:t>를 누릅니다.</w:t>
      </w:r>
    </w:p>
    <w:p>
      <w:r>
        <w:drawing>
          <wp:inline distT="0" distR="0" distB="0" distL="0">
            <wp:extent cx="5715000" cy="36449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스키마가 일치하지 않으면 다음 그림과 같이 오류 메시지를 볼 수 있습니다.</w:t>
      </w:r>
    </w:p>
    <w:p>
      <w:r>
        <w:drawing>
          <wp:inline distT="0" distR="0" distB="0" distL="0">
            <wp:extent cx="5715000" cy="36449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키 필드가 중복되면 다음 그림과 같이 오류 메시지를 볼 수 있습니다.</w:t>
      </w:r>
    </w:p>
    <w:p>
      <w:r>
        <w:drawing>
          <wp:inline distT="0" distR="0" distB="0" distL="0">
            <wp:extent cx="5715000" cy="33655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키 필드가 비어 있으면 다음 그림과 같이 오류 메시지를 볼 수 있습니다.</w:t>
      </w:r>
    </w:p>
    <w:p>
      <w:r>
        <w:drawing>
          <wp:inline distT="0" distR="0" distB="0" distL="0">
            <wp:extent cx="5715000" cy="33655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업로드된 데이터를 확인합니다.</w:t>
      </w:r>
    </w:p>
    <w:p>
      <w:r>
        <w:drawing>
          <wp:inline distT="0" distR="0" distB="0" distL="0">
            <wp:extent cx="5715000" cy="12319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CSV 파일의 데이터 행 중에서 오류가 있는 행은 무시되고, 오류가 없는 데이터는 업로드됩니다. 룩업에 등록된 데이터와 키 필드가 중복된 데이터가 CSV 파일에 있으면 해당 데이터 행은 무시됩니다.</w:t>
      </w:r>
    </w:p>
    <w:p>
      <w:pPr>
        <w:pStyle w:val="a7"/>
      </w:pPr>
      <w:r>
        <w:t>직접 입력/수정</w:t>
      </w:r>
    </w:p>
    <w:p>
      <w:r>
        <w:t>파일 룩업에 업로드할 데이터가 적거나, 이미 업로드한 데이터를 수정해야 할 때 사용자가 직접 데이터를 수정할 수 있습니다.</w:t>
      </w:r>
    </w:p>
    <w:p>
      <w:r>
        <w:t>룩업 트리에서 데이터를 업로드할 데이터 룩업을 선택합니다.</w:t>
      </w:r>
    </w:p>
    <w:p>
      <w:r>
        <w:drawing>
          <wp:inline distT="0" distR="0" distB="0" distL="0">
            <wp:extent cx="5715000" cy="12319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수정할 행을 선택합니다. 새 데이터 행을 추가하고 싶으면 맨 마지막에 있는 빈 행을 선택합니다. 행에서 선택된 행의 테두리가 변경되는 것을 확인할 수 있습니다.</w:t>
      </w:r>
    </w:p>
    <w:p>
      <w:r>
        <w:drawing>
          <wp:inline distT="0" distR="0" distB="0" distL="0">
            <wp:extent cx="5715000" cy="12319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데이터를 추가/수정했으면 </w:t>
      </w:r>
      <w:r>
        <w:rPr>
          <w:b w:val="on"/>
        </w:rPr>
        <w:t>저장</w:t>
      </w:r>
      <w:r>
        <w:t xml:space="preserve">을 눌러 작업을 마칩니다. 변경 내역을 저장하면 </w:t>
      </w:r>
      <w:r>
        <w:rPr>
          <w:b w:val="on"/>
        </w:rPr>
        <w:t>저장</w:t>
      </w:r>
      <w:r>
        <w:t xml:space="preserve"> 버튼이 비활성화됩니다.</w:t>
      </w:r>
    </w:p>
    <w:p>
      <w:r>
        <w:drawing>
          <wp:inline distT="0" distR="0" distB="0" distL="0">
            <wp:extent cx="5715000" cy="14097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수정한 데이터에 오류가 있으면 이를 알리는 오류 메시지가 표시됩니다. 이 때 </w:t>
      </w:r>
      <w:r>
        <w:rPr>
          <w:b w:val="on"/>
        </w:rPr>
        <w:t>저장</w:t>
      </w:r>
      <w:r>
        <w:t>을 누르면 에러가 있는 행을 삭제하고 저장합니다.</w:t>
      </w:r>
    </w:p>
    <w:p>
      <w:r>
        <w:drawing>
          <wp:inline distT="0" distR="0" distB="0" distL="0">
            <wp:extent cx="5715000" cy="14097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4097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룩업 삭제</w:t>
      </w:r>
    </w:p>
    <w:p>
      <w:r>
        <w:t>룩업을 삭제하는 방법은 다음과 같습니다.</w:t>
      </w:r>
    </w:p>
    <w:p>
      <w:r>
        <w:t>전체 룩업 목록에서 삭제할 룩업을 선택하고, 도구 모음에서 휴지통을 누릅니다.</w:t>
      </w:r>
    </w:p>
    <w:p>
      <w:r>
        <w:drawing>
          <wp:inline distT="0" distR="0" distB="0" distL="0">
            <wp:extent cx="5715000" cy="990600"/>
            <wp:docPr id="22" name="Drawing 2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룩업 삭제</w:t>
      </w:r>
      <w:r>
        <w:t xml:space="preserve"> 창에서 삭제할 룩업을 확인하고 삭제를 누릅니다.</w:t>
      </w:r>
    </w:p>
    <w:p>
      <w:r>
        <w:drawing>
          <wp:inline distT="0" distR="0" distB="0" distL="0">
            <wp:extent cx="5715000" cy="1714500"/>
            <wp:docPr id="23" name="Drawing 2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전체 룩업 목록에서 룩업이 삭제된 것을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  <w:num w:numId="12">
    <w:abstractNumId w:val="0"/>
  </w:num>
  <w:num w:numId="13">
    <w:abstractNumId w:val="3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lookup-command" TargetMode="External" Type="http://schemas.openxmlformats.org/officeDocument/2006/relationships/hyperlink"/><Relationship Id="rId11" Target="https://docs.logpresso.com/ko/query/memlookup-command" TargetMode="External" Type="http://schemas.openxmlformats.org/officeDocument/2006/relationships/hyperlink"/><Relationship Id="rId12" Target="https://docs.logpresso.com/ko/query/lookup-command" TargetMode="External" Type="http://schemas.openxmlformats.org/officeDocument/2006/relationships/hyperlink"/><Relationship Id="rId13" Target="https://docs.logpresso.com/ko/enterprise/4.0/ui/data-widget-map-korea" TargetMode="External" Type="http://schemas.openxmlformats.org/officeDocument/2006/relationships/hyperlink"/><Relationship Id="rId14" Target="media/image1.png" Type="http://schemas.openxmlformats.org/officeDocument/2006/relationships/image"/><Relationship Id="rId15" Target="media/image2.png" Type="http://schemas.openxmlformats.org/officeDocument/2006/relationships/image"/><Relationship Id="rId16" Target="media/image3.png" Type="http://schemas.openxmlformats.org/officeDocument/2006/relationships/image"/><Relationship Id="rId17" Target="media/image4.png" Type="http://schemas.openxmlformats.org/officeDocument/2006/relationships/image"/><Relationship Id="rId18" Target="media/image5.png" Type="http://schemas.openxmlformats.org/officeDocument/2006/relationships/image"/><Relationship Id="rId19" Target="media/image6.png" Type="http://schemas.openxmlformats.org/officeDocument/2006/relationships/image"/><Relationship Id="rId2" Target="numbering.xml" Type="http://schemas.openxmlformats.org/officeDocument/2006/relationships/numbering"/><Relationship Id="rId20" Target="media/image7.png" Type="http://schemas.openxmlformats.org/officeDocument/2006/relationships/image"/><Relationship Id="rId21" Target="media/image8.png" Type="http://schemas.openxmlformats.org/officeDocument/2006/relationships/image"/><Relationship Id="rId22" Target="media/image9.png" Type="http://schemas.openxmlformats.org/officeDocument/2006/relationships/image"/><Relationship Id="rId23" Target="media/image10.png" Type="http://schemas.openxmlformats.org/officeDocument/2006/relationships/image"/><Relationship Id="rId24" Target="media/image11.png" Type="http://schemas.openxmlformats.org/officeDocument/2006/relationships/image"/><Relationship Id="rId25" Target="media/image12.png" Type="http://schemas.openxmlformats.org/officeDocument/2006/relationships/image"/><Relationship Id="rId26" Target="media/image13.png" Type="http://schemas.openxmlformats.org/officeDocument/2006/relationships/image"/><Relationship Id="rId27" Target="media/image14.png" Type="http://schemas.openxmlformats.org/officeDocument/2006/relationships/image"/><Relationship Id="rId28" Target="media/image15.png" Type="http://schemas.openxmlformats.org/officeDocument/2006/relationships/image"/><Relationship Id="rId29" Target="media/image16.png" Type="http://schemas.openxmlformats.org/officeDocument/2006/relationships/image"/><Relationship Id="rId3" Target="styles.xml" Type="http://schemas.openxmlformats.org/officeDocument/2006/relationships/styles"/><Relationship Id="rId30" Target="media/image17.png" Type="http://schemas.openxmlformats.org/officeDocument/2006/relationships/image"/><Relationship Id="rId31" Target="media/image18.png" Type="http://schemas.openxmlformats.org/officeDocument/2006/relationships/image"/><Relationship Id="rId32" Target="media/image19.png" Type="http://schemas.openxmlformats.org/officeDocument/2006/relationships/image"/><Relationship Id="rId33" Target="media/image20.png" Type="http://schemas.openxmlformats.org/officeDocument/2006/relationships/image"/><Relationship Id="rId34" Target="media/image21.png" Type="http://schemas.openxmlformats.org/officeDocument/2006/relationships/image"/><Relationship Id="rId35" Target="media/image22.png" Type="http://schemas.openxmlformats.org/officeDocument/2006/relationships/image"/><Relationship Id="rId36" Target="media/image23.png" Type="http://schemas.openxmlformats.org/officeDocument/2006/relationships/imag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