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linux-arp-entries</w:t>
      </w:r>
    </w:p>
    <w:p>
      <w:r>
        <w:t>/proc/net/arp 파일에서 ARP 캐시 정보를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linux-arp-entries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하드웨어 유형. 대부분의 경우, 이더넷(</w:t>
            </w:r>
            <w:r>
              <w:rPr>
                <w:rStyle w:val="af4"/>
              </w:rPr>
              <w:t>1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연관된 IP 주소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MAC 주소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인터페이스 이름</w:t>
            </w:r>
          </w:p>
        </w:tc>
      </w:tr>
    </w:tbl>
    <w:p>
      <w:pPr>
        <w:pStyle w:val="4"/>
      </w:pPr>
      <w:r>
        <w:t>사용 예</w:t>
      </w:r>
    </w:p>
    <w:p>
      <w:r>
        <w:t>ARP 캐시 정보를 조회</w:t>
      </w:r>
    </w:p>
    <w:p>
      <w:pPr>
        <w:pStyle w:val="ae"/>
      </w:pPr>
      <w:r>
        <w:t>linux-arp-entries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