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내부 IP 추가</w:t>
      </w:r>
    </w:p>
    <w:p>
      <w:r>
        <w:rPr>
          <w:rStyle w:val="af4"/>
        </w:rPr>
        <w:t>추가</w:t>
      </w:r>
      <w:r>
        <w:t xml:space="preserve"> 버튼을 클릭해 내부 IP를 추가합니다. IP 주소, 중요도, 담당자 등 정보를 입력한 후 </w:t>
      </w:r>
      <w:r>
        <w:rPr>
          <w:rStyle w:val="af4"/>
        </w:rPr>
        <w:t>확인</w:t>
      </w:r>
      <w:r>
        <w:t xml:space="preserve"> 버튼을 눌러 저장합니다.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