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학습 데이터셋 추가</w:t>
      </w:r>
    </w:p>
    <w:p>
      <w:r>
        <w:t xml:space="preserve">목록에서 </w:t>
      </w:r>
      <w:r>
        <w:rPr>
          <w:rStyle w:val="af4"/>
        </w:rPr>
        <w:t>새 데이터셋 추가</w:t>
      </w:r>
      <w:r>
        <w:t xml:space="preserve"> 버튼을 클릭하면 데이터셋 생성 화면으로 전환됩니다.</w:t>
      </w:r>
    </w:p>
    <w:p>
      <w:r>
        <w:drawing>
          <wp:inline distT="0" distR="0" distB="0" distL="0">
            <wp:extent cx="5715000" cy="2120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데이터셋 이름</w:t>
      </w:r>
    </w:p>
    <w:p>
      <w:pPr>
        <w:ind w:left="400"/>
      </w:pPr>
      <w:r>
        <w:t>머신러닝 모델에서 데이터셋을 선택할 때 표시할 이름을 입력합니다.</w:t>
      </w:r>
    </w:p>
    <w:p>
      <w:r>
        <w:rPr>
          <w:b w:val="on"/>
        </w:rPr>
        <w:t>데이터셋 설명</w:t>
      </w:r>
    </w:p>
    <w:p>
      <w:pPr>
        <w:ind w:left="400"/>
      </w:pPr>
      <w:r>
        <w:t>데이터셋에 대한 설명을 입력합니다.</w:t>
      </w:r>
    </w:p>
    <w:p>
      <w:r>
        <w:rPr>
          <w:b w:val="on"/>
        </w:rPr>
        <w:t>쿼리 문자열</w:t>
      </w:r>
    </w:p>
    <w:p>
      <w:pPr>
        <w:ind w:left="400"/>
      </w:pPr>
      <w:r>
        <w:t>머신러닝 데이터셋을 생성하는데 필요한 쿼리를 입력합니다. 모델링 실행 시 머신러닝 데이터셋에서 선택된 필드 값은 그대로 들어가므로, 피처 가공이 필요하면 이 단계에서 완료해야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