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IP 블랙리스트 편집</w:t>
      </w:r>
    </w:p>
    <w:p>
      <w:r>
        <w:t>기존 목록의 이름을 클릭하면 기존 IP 블랙리스트 목록을 조회하고, 새 IP 주소를 명단에 추가하거나 삭제할 수 있습니다.</w:t>
      </w:r>
    </w:p>
    <w:p>
      <w:r>
        <w:t>목록에 IP 주소를 추가하면 IP-지역 변환 기능에 의해 자동으로 국가코드가 기록됩니다. 설명 항목을 입력하면 탐지 정책에서 IP 블랙리스트를 기준으로 탐지 시 등록 사유를 원본 이벤트에서 확인할 수 있습니다.</w:t>
      </w:r>
    </w:p>
    <w:p>
      <w:r>
        <w:drawing>
          <wp:inline distT="0" distR="0" distB="0" distL="0">
            <wp:extent cx="5715000" cy="276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