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추출 모델 삭제</w:t>
      </w:r>
    </w:p>
    <w:p>
      <w:r>
        <w:t xml:space="preserve">목록의 체크박스를 클릭하고 </w:t>
      </w:r>
      <w:r>
        <w:rPr>
          <w:rStyle w:val="af4"/>
        </w:rPr>
        <w:t>선택삭제</w:t>
      </w:r>
      <w:r>
        <w:t xml:space="preserve"> 버튼을 클릭하면, 해당 추출 모델의 삭제 여부를 다시 한 번 확인합니다. 대화상자에서 </w:t>
      </w:r>
      <w:r>
        <w:rPr>
          <w:rStyle w:val="af4"/>
        </w:rPr>
        <w:t>삭제</w:t>
      </w:r>
      <w:r>
        <w:t xml:space="preserve"> 버튼을 클릭하면 선택한 추출 모델이 삭제됩니다. 단, 이미 수집 설정에서 참조하고 있는 수집 모델과 연관된 추출 모델은 삭제되지 않습니다.</w:t>
      </w:r>
    </w:p>
    <w:p>
      <w:r>
        <w:drawing>
          <wp:inline distT="0" distR="0" distB="0" distL="0">
            <wp:extent cx="5715000" cy="3200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