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정규화 삭제</w:t>
      </w:r>
    </w:p>
    <w:p>
      <w:r>
        <w:t xml:space="preserve">왼쪽 패널에서 체크박스를 선택하고 상단의 </w:t>
      </w:r>
      <w:r>
        <w:rPr>
          <w:rStyle w:val="af4"/>
        </w:rPr>
        <w:t>삭제</w:t>
      </w:r>
      <w:r>
        <w:t xml:space="preserve"> 버튼을 클릭하면, 정규화 스키마 삭제 여부를 다시 확인합니다. 삭제 버튼을 누르면 해당 정규화 스키마가 삭제됩니다. 단, 이미 추출 모델에서 사용하고 있는 정규화 스키마는 삭제할 수 없습니다.</w:t>
      </w:r>
    </w:p>
    <w:p>
      <w:r>
        <w:drawing>
          <wp:inline distT="0" distR="0" distB="0" distL="0">
            <wp:extent cx="5715000" cy="290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