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소명 검토</w:t>
      </w:r>
    </w:p>
    <w:p>
      <w:r>
        <w:t>소명 대상자가 소명 사유를 작성하면 소명 검토자에게는 소명 검토 메일이 옵니다. 검토자는 메일에 있는 링크를 클릭해 소명 검토 요청 내용을 확인하고, 이를 토대로 검토 작업을 진행합니다.</w:t>
      </w:r>
    </w:p>
    <w:p>
      <w:r>
        <w:drawing>
          <wp:inline distT="0" distR="0" distB="0" distL="0">
            <wp:extent cx="5715000" cy="152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소명 검토자는 소명 정보 및 상세 내역을 검토하여 소명 의견을 남기고, 소명을 반려하려면 </w:t>
      </w:r>
      <w:r>
        <w:rPr>
          <w:rStyle w:val="af4"/>
        </w:rPr>
        <w:t>반려</w:t>
      </w:r>
      <w:r>
        <w:t xml:space="preserve"> 버튼을, 소명 결과가 정상이면 </w:t>
      </w:r>
      <w:r>
        <w:rPr>
          <w:rStyle w:val="af4"/>
        </w:rPr>
        <w:t>승인 (정상)</w:t>
      </w:r>
      <w:r>
        <w:t xml:space="preserve"> 버튼을, 위반이면 </w:t>
      </w:r>
      <w:r>
        <w:rPr>
          <w:rStyle w:val="af4"/>
        </w:rPr>
        <w:t>승인 (위반)</w:t>
      </w:r>
      <w:r>
        <w:t xml:space="preserve"> 버튼을 클릭합니다.</w:t>
      </w:r>
    </w:p>
    <w:p>
      <w:r>
        <w:drawing>
          <wp:inline distT="0" distR="0" distB="0" distL="0">
            <wp:extent cx="5715000" cy="5321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소명 검토는 해당 회사의 임직원만 진행할 수 있습니다. 임직원이 아닌 소나 계정으로 소명을 조회할 경우 다음과 같은 메시지가 표시됩니다.</w:t>
      </w:r>
    </w:p>
    <w:p>
      <w:r>
        <w:drawing>
          <wp:inline distT="0" distR="0" distB="0" distL="0">
            <wp:extent cx="5715000" cy="2476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