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</w:t>
      </w:r>
    </w:p>
    <w:p>
      <w:r>
        <w:t>수집 모델은 수집 유형과 원본 로그 파서의 쌍으로 구성됩니다. 수집 유형은 로그를 수집하는 방법을 지정하고, 원본 로그 파서는 수집 서버에서 로그를 수신한 후 필드 추출에 사용할 파서를 지정합니다. 예를 들어, OpenSSH 수집 모델은 로테이션 로그 파일과 OpenSSH 파서의 조합으로 정의됩니다. 이후 수집 설정 시 수집 서버나 센트리에서 지원하는 수집 유형에 맞춰서 사용 가능한 수집 모델이 필터링되어 표시됩니다.</w:t>
      </w:r>
    </w:p>
    <w:p>
      <w:r>
        <w:t>수집 모델은 클러스터 관리자 권한이나 수집 모델 편집 권한을 가진 계정만 설정할 수 있습니다. 일반 관리자나 사용자 계정은 조회만 가능합니다.</w:t>
      </w:r>
    </w:p>
    <w:p>
      <w:r>
        <w:drawing>
          <wp:inline distT="0" distR="0" distB="0" distL="0">
            <wp:extent cx="5715000" cy="384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