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정규화 파서</w:t>
      </w:r>
    </w:p>
    <w:p>
      <w:r>
        <w:t>정규화 파서는 입력받은 로그 데이터를 정규화 스키마에 맞게 파싱해주는 역할을 합니다. 내장된 정규화 파서를 사용하거나 사용자가 직접 정규화 파서를 설정해 사용할 수 있습니다.</w:t>
      </w:r>
    </w:p>
    <w:p>
      <w:r>
        <w:drawing>
          <wp:inline distT="0" distR="0" distB="0" distL="0">
            <wp:extent cx="5715000" cy="3517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