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SNR#2547 라이선스 경고 표시 기능 추가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라이선스 메뉴 관련 아래의 항목들이 개선되었습니다.</w:t>
      </w:r>
    </w:p>
    <w:p>
      <w:pPr>
        <w:numPr>
          <w:numId w:val="6"/>
        </w:numPr>
        <w:spacing w:before="0" w:after="0"/>
        <w:ind w:left="360" w:hanging="360"/>
      </w:pPr>
      <w:r>
        <w:t>라이선스 화면에서 모든 하드웨어 키를 표시하도록 개선</w:t>
      </w:r>
    </w:p>
    <w:p>
      <w:pPr>
        <w:numPr>
          <w:numId w:val="7"/>
        </w:numPr>
        <w:spacing w:before="0" w:after="0"/>
        <w:ind w:left="720" w:hanging="360"/>
      </w:pPr>
      <w:r>
        <w:t>하드웨어 키 목록에서 모든 하드웨어 키를 표시하도록 변경했습니다.</w:t>
      </w:r>
    </w:p>
    <w:p>
      <w:pPr>
        <w:numPr>
          <w:numId w:val="7"/>
        </w:numPr>
        <w:spacing w:before="0" w:after="0"/>
        <w:ind w:left="720" w:hanging="360"/>
      </w:pPr>
      <w:r>
        <w:t>라이선스 발급 시 입력한 모든 하드웨어 키를 표시하도록 변경했습니다.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204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라이선스가 유효하지 않은 경우, 웹콘솔 화면 상단에 라이선스 경고 메시지를 표시하고 라이선스 목록에서 라이선스 경고 유형에 따른 색상을 표시합니다.</w:t>
      </w:r>
    </w:p>
    <w:p>
      <w:pPr>
        <w:numPr>
          <w:numId w:val="8"/>
        </w:numPr>
        <w:spacing w:before="0" w:after="0"/>
        <w:ind w:left="720" w:hanging="360"/>
      </w:pPr>
      <w:r>
        <w:t>상단 경고 메시지</w:t>
      </w:r>
    </w:p>
    <w:p>
      <w:pPr>
        <w:numPr>
          <w:numId w:val="8"/>
        </w:numPr>
        <w:spacing w:before="0" w:after="0"/>
        <w:ind w:left="720" w:hanging="360"/>
      </w:pPr>
      <w:r>
        <w:drawing>
          <wp:inline distT="0" distR="0" distB="0" distL="0">
            <wp:extent cx="5715000" cy="901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기술 지원 기간을 초과한 라이선스 (노랑)</w:t>
      </w:r>
    </w:p>
    <w:p>
      <w:pPr>
        <w:numPr>
          <w:numId w:val="8"/>
        </w:numPr>
        <w:spacing w:before="0" w:after="0"/>
        <w:ind w:left="720" w:hanging="360"/>
      </w:pPr>
      <w:r>
        <w:t>유효 기간을 초과한 라이선스 (주황)</w:t>
      </w:r>
    </w:p>
    <w:p>
      <w:pPr>
        <w:numPr>
          <w:numId w:val="8"/>
        </w:numPr>
        <w:spacing w:before="0" w:after="0"/>
        <w:ind w:left="720" w:hanging="360"/>
      </w:pPr>
      <w:r>
        <w:t>비정상적인 라이선스 (빨강)</w:t>
      </w:r>
    </w:p>
    <w:p>
      <w:pPr>
        <w:numPr>
          <w:numId w:val="8"/>
        </w:numPr>
        <w:spacing w:before="0" w:after="0"/>
        <w:ind w:left="720" w:hanging="360"/>
      </w:pPr>
      <w:r>
        <w:drawing>
          <wp:inline distT="0" distR="0" distB="0" distL="0">
            <wp:extent cx="5715000" cy="1511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라이선스 아이콘을 변경했습니다.</w:t>
      </w:r>
    </w:p>
    <w:p>
      <w:pPr>
        <w:numPr>
          <w:numId w:val="9"/>
        </w:numPr>
        <w:spacing w:before="0" w:after="0"/>
        <w:ind w:left="720" w:hanging="360"/>
      </w:pPr>
      <w:r>
        <w:t>(변경) STD → LIGHT</w:t>
      </w:r>
    </w:p>
    <w:p>
      <w:pPr>
        <w:numPr>
          <w:numId w:val="9"/>
        </w:numPr>
        <w:spacing w:before="0" w:after="0"/>
        <w:ind w:left="720" w:hanging="360"/>
      </w:pPr>
      <w:r>
        <w:t>(변경) ENT → LIGHT-HA</w:t>
      </w:r>
    </w:p>
    <w:p>
      <w:pPr>
        <w:numPr>
          <w:numId w:val="9"/>
        </w:numPr>
        <w:spacing w:before="0" w:after="0"/>
        <w:ind w:left="720" w:hanging="360"/>
      </w:pPr>
      <w:r>
        <w:t>(유지) SONAR</w:t>
      </w:r>
    </w:p>
    <w:p>
      <w:pPr>
        <w:numPr>
          <w:numId w:val="9"/>
        </w:numPr>
        <w:spacing w:before="0" w:after="0"/>
        <w:ind w:left="720" w:hanging="360"/>
      </w:pPr>
      <w:r>
        <w:t>(유지) MAE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