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SNR#2891 수집기 적재 위치에 전달 노드 설정 제한</w:t>
      </w:r>
    </w:p>
    <w:p>
      <w:r>
        <w:rPr>
          <w:b w:val="on"/>
        </w:rPr>
        <w:t>버전: [4.0.2502.1](../../4.0/releases/4.0.2502.1)</w:t>
      </w:r>
    </w:p>
    <w:p>
      <w:r>
        <w:t xml:space="preserve">수집기를 생성할 때 </w:t>
      </w:r>
      <w:r>
        <w:rPr>
          <w:b w:val="on"/>
        </w:rPr>
        <w:t>적재 위치</w:t>
      </w:r>
      <w:r>
        <w:t xml:space="preserve"> 항목에서 전달 노드를 선택할 수 없도록 제한하여, 전달 노드를 적재 대상으로 설정하는 실수를 방지할 수 있도록 했습니다.</w:t>
      </w:r>
    </w:p>
    <w:p>
      <w:r>
        <w:drawing>
          <wp:inline distT="0" distR="0" distB="0" distL="0">
            <wp:extent cx="5715000" cy="196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